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8.emf" ContentType="image/x-emf"/>
  <Override PartName="/word/media/image27.emf" ContentType="image/x-emf"/>
  <Override PartName="/word/media/image26.jpeg" ContentType="image/jpeg"/>
  <Override PartName="/word/media/image25.jpeg" ContentType="image/jpeg"/>
  <Override PartName="/word/media/image24.jpeg" ContentType="image/jpeg"/>
  <Override PartName="/word/media/image23.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eastAsia="Times New Roman" w:hAnsi="Arial"/>
          <w:b/>
          <w:bCs/>
        </w:rPr>
      </w:pPr>
      <w:bookmarkStart w:id="0" w:name="_Toc382226701"/>
      <w:bookmarkStart w:id="1" w:name="_Toc382226669"/>
      <w:bookmarkStart w:id="2" w:name="_Toc382225552"/>
      <w:bookmarkStart w:id="3" w:name="_Toc382225477"/>
      <w:bookmarkStart w:id="4" w:name="_Toc382224657"/>
      <w:bookmarkStart w:id="5" w:name="_Toc382224612"/>
      <w:bookmarkStart w:id="6" w:name="_Toc382224583"/>
      <w:bookmarkStart w:id="7" w:name="_Toc382224551"/>
      <w:bookmarkStart w:id="8" w:name="_Toc382224138"/>
      <w:bookmarkStart w:id="9" w:name="_Toc382224082"/>
      <w:bookmarkStart w:id="10" w:name="_Toc382223918"/>
      <w:bookmarkStart w:id="11" w:name="_Toc382223682"/>
      <w:bookmarkStart w:id="12" w:name="_Toc382223589"/>
      <w:bookmarkStart w:id="13" w:name="_Toc382226701"/>
      <w:bookmarkStart w:id="14" w:name="_Toc382226669"/>
      <w:bookmarkStart w:id="15" w:name="_Toc382225552"/>
      <w:bookmarkStart w:id="16" w:name="_Toc382225477"/>
      <w:bookmarkStart w:id="17" w:name="_Toc382224657"/>
      <w:bookmarkStart w:id="18" w:name="_Toc382224612"/>
      <w:bookmarkStart w:id="19" w:name="_Toc382224583"/>
      <w:bookmarkStart w:id="20" w:name="_Toc382224551"/>
      <w:bookmarkStart w:id="21" w:name="_Toc382224138"/>
      <w:bookmarkStart w:id="22" w:name="_Toc382224082"/>
      <w:bookmarkStart w:id="23" w:name="_Toc382223918"/>
      <w:bookmarkStart w:id="24" w:name="_Toc382223682"/>
      <w:bookmarkStart w:id="25" w:name="_Toc382223589"/>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Times New Roman" w:hAnsi="Arial"/>
          <w:b/>
          <w:bCs/>
        </w:rPr>
        <w:drawing>
          <wp:anchor allowOverlap="1" behindDoc="1" distB="0" distL="0" distR="0" distT="0" layoutInCell="1" locked="0" relativeHeight="0" simplePos="0">
            <wp:simplePos x="0" y="0"/>
            <wp:positionH relativeFrom="column">
              <wp:posOffset>-1080135</wp:posOffset>
            </wp:positionH>
            <wp:positionV relativeFrom="paragraph">
              <wp:posOffset>-1350645</wp:posOffset>
            </wp:positionV>
            <wp:extent cx="7560310" cy="1242060"/>
            <wp:effectExtent b="0" l="0" r="0" t="0"/>
            <wp:wrapNone/>
            <wp:docPr descr="capsocib2H"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0" name="Picture"/>
                    <pic:cNvPicPr>
                      <a:picLocks noChangeArrowheads="1" noChangeAspect="1"/>
                    </pic:cNvPicPr>
                  </pic:nvPicPr>
                  <pic:blipFill>
                    <a:blip r:embed="rId2"/>
                    <a:srcRect/>
                    <a:stretch>
                      <a:fillRect/>
                    </a:stretch>
                  </pic:blipFill>
                  <pic:spPr bwMode="auto">
                    <a:xfrm>
                      <a:off x="0" y="0"/>
                      <a:ext cx="7560310" cy="1242060"/>
                    </a:xfrm>
                    <a:prstGeom prst="rect">
                      <a:avLst/>
                    </a:prstGeom>
                    <a:noFill/>
                    <a:ln w="9525">
                      <a:noFill/>
                      <a:miter lim="800000"/>
                      <a:headEnd/>
                      <a:tailEnd/>
                    </a:ln>
                  </pic:spPr>
                </pic:pic>
              </a:graphicData>
            </a:graphic>
          </wp:anchor>
        </w:drawing>
      </w:r>
    </w:p>
    <w:p>
      <w:pPr>
        <w:pStyle w:val="style0"/>
        <w:spacing w:after="0" w:before="280"/>
        <w:contextualSpacing w:val="false"/>
        <w:jc w:val="both"/>
        <w:rPr>
          <w:rFonts w:ascii="Arial" w:eastAsia="Times New Roman" w:hAnsi="Arial"/>
          <w:b/>
          <w:bCs/>
          <w:color w:val="4BACC6"/>
          <w:sz w:val="56"/>
          <w:szCs w:val="56"/>
        </w:rPr>
      </w:pPr>
      <w:bookmarkStart w:id="26" w:name="_Toc382218428"/>
      <w:r>
        <w:rPr>
          <w:rFonts w:ascii="Arial" w:eastAsia="Times New Roman" w:hAnsi="Arial"/>
          <w:b/>
          <w:bCs/>
          <w:color w:val="4BACC6"/>
          <w:sz w:val="56"/>
          <w:szCs w:val="56"/>
        </w:rPr>
        <w:t xml:space="preserve">Guidelines and Protocols for External Users </w:t>
      </w:r>
      <w:bookmarkStart w:id="27" w:name="_Toc382226702"/>
      <w:bookmarkStart w:id="28" w:name="_Toc382226670"/>
      <w:bookmarkStart w:id="29" w:name="_Toc382225553"/>
      <w:bookmarkStart w:id="30" w:name="_Toc382225478"/>
      <w:bookmarkStart w:id="31" w:name="_Toc382224658"/>
      <w:bookmarkStart w:id="32" w:name="_Toc382224613"/>
      <w:bookmarkStart w:id="33" w:name="_Toc382224584"/>
      <w:bookmarkStart w:id="34" w:name="_Toc382224552"/>
      <w:bookmarkStart w:id="35" w:name="_Toc382224139"/>
      <w:bookmarkStart w:id="36" w:name="_Toc382224083"/>
      <w:bookmarkStart w:id="37" w:name="_Toc382223919"/>
      <w:bookmarkStart w:id="38" w:name="_Toc382223683"/>
      <w:bookmarkStart w:id="39" w:name="_Toc382223590"/>
      <w:bookmarkEnd w:id="26"/>
      <w:r>
        <w:rPr>
          <w:rFonts w:ascii="Arial" w:eastAsia="Times New Roman" w:hAnsi="Arial"/>
          <w:b/>
          <w:bCs/>
          <w:color w:val="4BACC6"/>
          <w:sz w:val="56"/>
          <w:szCs w:val="56"/>
        </w:rPr>
        <w:t xml:space="preserve">Competitive Access to Gliders </w:t>
      </w:r>
    </w:p>
    <w:p>
      <w:pPr>
        <w:pStyle w:val="style0"/>
        <w:spacing w:after="0" w:before="280"/>
        <w:contextualSpacing w:val="false"/>
        <w:jc w:val="both"/>
        <w:rPr>
          <w:rFonts w:ascii="Arial" w:eastAsia="Times New Roman" w:hAnsi="Arial"/>
          <w:b/>
          <w:bCs/>
          <w:sz w:val="32"/>
        </w:rPr>
      </w:pPr>
      <w:bookmarkEnd w:id="27"/>
      <w:bookmarkEnd w:id="28"/>
      <w:bookmarkEnd w:id="29"/>
      <w:bookmarkEnd w:id="30"/>
      <w:bookmarkEnd w:id="31"/>
      <w:bookmarkEnd w:id="32"/>
      <w:bookmarkEnd w:id="33"/>
      <w:bookmarkEnd w:id="34"/>
      <w:bookmarkEnd w:id="35"/>
      <w:bookmarkEnd w:id="36"/>
      <w:bookmarkEnd w:id="37"/>
      <w:bookmarkEnd w:id="38"/>
      <w:bookmarkEnd w:id="39"/>
      <w:r>
        <w:rPr>
          <w:rFonts w:ascii="Arial" w:eastAsia="Times New Roman" w:hAnsi="Arial"/>
          <w:b/>
          <w:bCs/>
          <w:sz w:val="32"/>
        </w:rPr>
        <w:drawing>
          <wp:anchor allowOverlap="1" behindDoc="1" distB="0" distL="0" distR="0" distT="0" layoutInCell="1" locked="0" relativeHeight="2" simplePos="0">
            <wp:simplePos x="0" y="0"/>
            <wp:positionH relativeFrom="column">
              <wp:posOffset>12065</wp:posOffset>
            </wp:positionH>
            <wp:positionV relativeFrom="paragraph">
              <wp:posOffset>307975</wp:posOffset>
            </wp:positionV>
            <wp:extent cx="5130800" cy="2590800"/>
            <wp:effectExtent b="0" l="0" r="0" t="0"/>
            <wp:wrapNone/>
            <wp:docPr descr="glide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glider" id="1" name="Picture"/>
                    <pic:cNvPicPr>
                      <a:picLocks noChangeArrowheads="1" noChangeAspect="1"/>
                    </pic:cNvPicPr>
                  </pic:nvPicPr>
                  <pic:blipFill>
                    <a:blip r:embed="rId3"/>
                    <a:srcRect/>
                    <a:stretch>
                      <a:fillRect/>
                    </a:stretch>
                  </pic:blipFill>
                  <pic:spPr bwMode="auto">
                    <a:xfrm>
                      <a:off x="0" y="0"/>
                      <a:ext cx="5130800" cy="2590800"/>
                    </a:xfrm>
                    <a:prstGeom prst="rect">
                      <a:avLst/>
                    </a:prstGeom>
                    <a:noFill/>
                    <a:ln w="9525">
                      <a:noFill/>
                      <a:miter lim="800000"/>
                      <a:headEnd/>
                      <a:tailEnd/>
                    </a:ln>
                  </pic:spPr>
                </pic:pic>
              </a:graphicData>
            </a:graphic>
          </wp:anchor>
        </w:drawing>
      </w:r>
    </w:p>
    <w:p>
      <w:pPr>
        <w:pStyle w:val="style0"/>
        <w:spacing w:after="0" w:before="280"/>
        <w:contextualSpacing w:val="false"/>
        <w:jc w:val="both"/>
        <w:rPr>
          <w:rFonts w:ascii="Arial" w:eastAsia="Times New Roman" w:hAnsi="Arial"/>
          <w:b/>
          <w:bCs/>
          <w:sz w:val="32"/>
        </w:rPr>
      </w:pPr>
      <w:r>
        <w:rPr>
          <w:rFonts w:ascii="Arial" w:eastAsia="Times New Roman" w:hAnsi="Arial"/>
          <w:b/>
          <w:bCs/>
          <w:sz w:val="32"/>
        </w:rPr>
      </w:r>
    </w:p>
    <w:p>
      <w:pPr>
        <w:pStyle w:val="style0"/>
        <w:spacing w:after="0" w:before="280"/>
        <w:contextualSpacing w:val="false"/>
        <w:jc w:val="both"/>
        <w:rPr>
          <w:rFonts w:ascii="Arial" w:eastAsia="Times New Roman" w:hAnsi="Arial"/>
          <w:b/>
          <w:bCs/>
          <w:sz w:val="32"/>
        </w:rPr>
      </w:pPr>
      <w:r>
        <w:rPr>
          <w:rFonts w:ascii="Arial" w:eastAsia="Times New Roman" w:hAnsi="Arial"/>
          <w:b/>
          <w:bCs/>
          <w:sz w:val="32"/>
        </w:rPr>
      </w:r>
    </w:p>
    <w:p>
      <w:pPr>
        <w:pStyle w:val="style0"/>
        <w:rPr>
          <w:rFonts w:ascii="Arial" w:eastAsia="Times New Roman" w:hAnsi="Arial"/>
          <w:b/>
          <w:bCs/>
          <w:sz w:val="32"/>
        </w:rPr>
      </w:pPr>
      <w:r>
        <w:rPr>
          <w:rFonts w:ascii="Arial" w:eastAsia="Times New Roman" w:hAnsi="Arial"/>
          <w:b/>
          <w:bCs/>
          <w:sz w:val="32"/>
        </w:rPr>
      </w:r>
    </w:p>
    <w:p>
      <w:pPr>
        <w:pStyle w:val="style0"/>
        <w:spacing w:after="0" w:before="280"/>
        <w:contextualSpacing w:val="false"/>
        <w:rPr>
          <w:rFonts w:ascii="Arial" w:eastAsia="Times New Roman" w:hAnsi="Arial"/>
          <w:b/>
          <w:bCs/>
          <w:color w:val="1F497D"/>
          <w:sz w:val="44"/>
          <w:szCs w:val="44"/>
        </w:rPr>
      </w:pPr>
      <w:bookmarkStart w:id="40" w:name="_Toc382218429"/>
      <w:bookmarkStart w:id="41" w:name="_Toc382218429"/>
      <w:bookmarkEnd w:id="41"/>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center"/>
        <w:rPr>
          <w:rStyle w:val="style19"/>
          <w:rFonts w:ascii="Arial" w:eastAsia="Times New Roman" w:hAnsi="Arial"/>
          <w:b/>
          <w:bCs/>
          <w:color w:val="A6A6A6"/>
        </w:rPr>
      </w:pPr>
      <w:hyperlink r:id="rId4">
        <w:r>
          <w:rPr>
            <w:rStyle w:val="style19"/>
            <w:rFonts w:ascii="Arial" w:eastAsia="Times New Roman" w:hAnsi="Arial"/>
            <w:b/>
            <w:bCs/>
            <w:color w:val="A6A6A6"/>
          </w:rPr>
          <w:t xml:space="preserve"> </w:t>
        </w:r>
        <w:r>
          <w:rPr>
            <w:rStyle w:val="style19"/>
            <w:rFonts w:ascii="Arial" w:eastAsia="Times New Roman" w:hAnsi="Arial"/>
            <w:b/>
            <w:bCs/>
            <w:color w:val="A6A6A6"/>
          </w:rPr>
          <w:t>www.socib.es/competitive_access</w:t>
        </w:r>
      </w:hyperlink>
    </w:p>
    <w:p>
      <w:pPr>
        <w:pStyle w:val="style0"/>
        <w:spacing w:after="0" w:before="280"/>
        <w:contextualSpacing w:val="false"/>
        <w:jc w:val="right"/>
        <w:rPr>
          <w:rFonts w:ascii="Arial" w:eastAsia="Times New Roman" w:hAnsi="Arial"/>
          <w:b/>
          <w:bCs/>
          <w:color w:val="808080"/>
        </w:rPr>
      </w:pPr>
      <w:r>
        <w:rPr>
          <w:rFonts w:ascii="Arial" w:eastAsia="Times New Roman" w:hAnsi="Arial"/>
          <w:b/>
          <w:bCs/>
          <w:color w:val="808080"/>
        </w:rPr>
        <w:t>July 13, 2014</w:t>
        <w:drawing>
          <wp:anchor allowOverlap="1" behindDoc="0" distB="0" distL="0" distR="0" distT="0" layoutInCell="1" locked="0" relativeHeight="1" simplePos="0">
            <wp:simplePos x="0" y="0"/>
            <wp:positionH relativeFrom="column">
              <wp:posOffset>-1080135</wp:posOffset>
            </wp:positionH>
            <wp:positionV relativeFrom="paragraph">
              <wp:posOffset>1120140</wp:posOffset>
            </wp:positionV>
            <wp:extent cx="7560310" cy="405130"/>
            <wp:effectExtent b="0" l="0" r="0" t="0"/>
            <wp:wrapNone/>
            <wp:docPr descr="capsocib2H"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2" name="Picture"/>
                    <pic:cNvPicPr>
                      <a:picLocks noChangeArrowheads="1" noChangeAspect="1"/>
                    </pic:cNvPicPr>
                  </pic:nvPicPr>
                  <pic:blipFill>
                    <a:blip r:embed="rId5"/>
                    <a:srcRect/>
                    <a:stretch>
                      <a:fillRect/>
                    </a:stretch>
                  </pic:blipFill>
                  <pic:spPr bwMode="auto">
                    <a:xfrm>
                      <a:off x="0" y="0"/>
                      <a:ext cx="7560310" cy="405130"/>
                    </a:xfrm>
                    <a:prstGeom prst="rect">
                      <a:avLst/>
                    </a:prstGeom>
                    <a:noFill/>
                    <a:ln w="9525">
                      <a:noFill/>
                      <a:miter lim="800000"/>
                      <a:headEnd/>
                      <a:tailEnd/>
                    </a:ln>
                  </pic:spPr>
                </pic:pic>
              </a:graphicData>
            </a:graphic>
          </wp:anchor>
        </w:drawing>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rPr>
          <w:rFonts w:ascii="Arial" w:eastAsia="Times New Roman" w:hAnsi="Arial"/>
          <w:b/>
          <w:bCs/>
          <w:color w:val="D9D9D9"/>
        </w:rPr>
      </w:pPr>
      <w:r>
        <w:rPr>
          <w:rFonts w:ascii="Arial" w:eastAsia="Times New Roman" w:hAnsi="Arial"/>
          <w:b/>
          <w:bCs/>
          <w:color w:val="D9D9D9"/>
        </w:rPr>
      </w:r>
    </w:p>
    <w:p>
      <w:pPr>
        <w:pStyle w:val="style0"/>
        <w:pageBreakBefore/>
        <w:rPr>
          <w:lang w:val="en-US"/>
        </w:rPr>
      </w:pPr>
      <w:r>
        <w:rPr>
          <w:lang w:val="en-US"/>
        </w:rPr>
      </w:r>
    </w:p>
    <w:p>
      <w:pPr>
        <w:pStyle w:val="style0"/>
        <w:rPr>
          <w:lang w:val="en-US"/>
        </w:rPr>
      </w:pPr>
      <w:r>
        <w:rPr>
          <w:lang w:val="en-US"/>
        </w:rPr>
      </w:r>
    </w:p>
    <w:p>
      <w:pPr>
        <w:pStyle w:val="style0"/>
        <w:rPr>
          <w:lang w:val="en-US"/>
        </w:rPr>
      </w:pPr>
      <w:r>
        <w:rPr>
          <w:lang w:val="en-US"/>
        </w:rPr>
      </w:r>
    </w:p>
    <w:p>
      <w:pPr>
        <w:sectPr>
          <w:type w:val="nextPage"/>
          <w:pgSz w:h="16838" w:w="11906"/>
          <w:pgMar w:bottom="364" w:footer="0" w:gutter="0" w:header="0" w:left="1701" w:right="1701" w:top="2127"/>
          <w:pgNumType w:fmt="decimal"/>
          <w:formProt w:val="false"/>
          <w:textDirection w:val="lrTb"/>
          <w:docGrid w:charSpace="0" w:linePitch="360" w:type="default"/>
        </w:sectPr>
        <w:pStyle w:val="style0"/>
        <w:rPr>
          <w:lang w:val="en-US"/>
        </w:rPr>
      </w:pPr>
      <w:r>
        <w:rPr>
          <w:lang w:val="en-US"/>
        </w:rPr>
      </w:r>
    </w:p>
    <w:p>
      <w:pPr>
        <w:pStyle w:val="style0"/>
        <w:shd w:fill="B6DDE8" w:val="clear"/>
        <w:spacing w:after="0" w:before="280"/>
        <w:contextualSpacing w:val="false"/>
        <w:rPr>
          <w:b/>
        </w:rPr>
      </w:pPr>
      <w:r>
        <w:rPr>
          <w:rFonts w:ascii="Arial" w:cs="Arial" w:hAnsi="Arial"/>
          <w:b/>
          <w:color w:val="1F497D"/>
        </w:rPr>
        <w:t>Contents</w:t>
      </w:r>
      <w:r>
        <w:rPr>
          <w:b/>
        </w:rPr>
        <w:t xml:space="preserve"> </w:t>
      </w:r>
    </w:p>
    <w:p>
      <w:pPr>
        <w:pStyle w:val="style0"/>
        <w:rPr>
          <w:lang w:val="en-US"/>
        </w:rPr>
      </w:pPr>
      <w:r>
        <w:rPr>
          <w:lang w:val="en-US"/>
        </w:rPr>
      </w:r>
    </w:p>
    <w:p>
      <w:pPr>
        <w:pStyle w:val="style0"/>
        <w:rPr>
          <w:lang w:val="en-US"/>
        </w:rPr>
      </w:pPr>
      <w:r>
        <w:rPr>
          <w:lang w:val="en-US"/>
        </w:rPr>
      </w:r>
    </w:p>
    <w:p>
      <w:pPr>
        <w:sectPr>
          <w:headerReference r:id="rId6" w:type="default"/>
          <w:footerReference r:id="rId7" w:type="default"/>
          <w:type w:val="nextPage"/>
          <w:pgSz w:h="16838" w:w="11906"/>
          <w:pgMar w:bottom="1418" w:footer="364" w:gutter="0" w:header="426" w:left="1701" w:right="1701" w:top="2127"/>
          <w:pgNumType w:fmt="decimal"/>
          <w:formProt w:val="false"/>
          <w:textDirection w:val="lrTb"/>
          <w:docGrid w:charSpace="0" w:linePitch="360" w:type="default"/>
        </w:sectPr>
      </w:pPr>
    </w:p>
    <w:p>
      <w:pPr>
        <w:pStyle w:val="style57"/>
        <w:tabs>
          <w:tab w:leader="dot" w:pos="8504" w:val="right"/>
        </w:tabs>
        <w:rPr>
          <w:rStyle w:val="style41"/>
        </w:rPr>
      </w:pPr>
      <w:r>
        <w:fldChar w:fldCharType="begin"/>
      </w:r>
      <w:r>
        <w:instrText> TOC </w:instrText>
      </w:r>
      <w:r>
        <w:fldChar w:fldCharType="separate"/>
      </w:r>
      <w:hyperlink w:anchor="__RefHeading__3350_1951723236">
        <w:r>
          <w:rPr>
            <w:rStyle w:val="style41"/>
          </w:rPr>
          <w:t>1. Access Protocol and guidelines</w:t>
          <w:tab/>
          <w:t>3</w:t>
        </w:r>
      </w:hyperlink>
    </w:p>
    <w:p>
      <w:pPr>
        <w:pStyle w:val="style56"/>
        <w:tabs>
          <w:tab w:leader="dot" w:pos="8504" w:val="right"/>
        </w:tabs>
        <w:rPr>
          <w:rStyle w:val="style41"/>
        </w:rPr>
      </w:pPr>
      <w:hyperlink w:anchor="__RefHeading__3352_1951723236">
        <w:r>
          <w:rPr>
            <w:rStyle w:val="style41"/>
          </w:rPr>
          <w:t>1.1 General Overview</w:t>
          <w:tab/>
          <w:t>3</w:t>
        </w:r>
      </w:hyperlink>
    </w:p>
    <w:p>
      <w:pPr>
        <w:pStyle w:val="style56"/>
        <w:tabs>
          <w:tab w:leader="dot" w:pos="8504" w:val="right"/>
        </w:tabs>
        <w:rPr>
          <w:rStyle w:val="style41"/>
        </w:rPr>
      </w:pPr>
      <w:hyperlink w:anchor="__RefHeading__3354_1951723236">
        <w:r>
          <w:rPr>
            <w:rStyle w:val="style41"/>
          </w:rPr>
          <w:t>1.2 Eligibility</w:t>
          <w:tab/>
          <w:t>3</w:t>
        </w:r>
      </w:hyperlink>
    </w:p>
    <w:p>
      <w:pPr>
        <w:pStyle w:val="style56"/>
        <w:tabs>
          <w:tab w:leader="dot" w:pos="8504" w:val="right"/>
        </w:tabs>
        <w:rPr>
          <w:rStyle w:val="style41"/>
        </w:rPr>
      </w:pPr>
      <w:hyperlink w:anchor="__RefHeading__3356_1951723236">
        <w:r>
          <w:rPr>
            <w:rStyle w:val="style41"/>
          </w:rPr>
          <w:t>1.3 Type of Access and Specific Complementary Services</w:t>
          <w:tab/>
          <w:t>3</w:t>
        </w:r>
      </w:hyperlink>
    </w:p>
    <w:p>
      <w:pPr>
        <w:pStyle w:val="style57"/>
        <w:tabs>
          <w:tab w:leader="dot" w:pos="8504" w:val="right"/>
        </w:tabs>
        <w:rPr>
          <w:rStyle w:val="style41"/>
        </w:rPr>
      </w:pPr>
      <w:hyperlink w:anchor="__RefHeading__3358_1951723236">
        <w:r>
          <w:rPr>
            <w:rStyle w:val="style41"/>
          </w:rPr>
          <w:t>2. Access Costs</w:t>
          <w:tab/>
          <w:t>5</w:t>
        </w:r>
      </w:hyperlink>
    </w:p>
    <w:p>
      <w:pPr>
        <w:pStyle w:val="style57"/>
        <w:tabs>
          <w:tab w:leader="dot" w:pos="8504" w:val="right"/>
        </w:tabs>
        <w:rPr>
          <w:rStyle w:val="style41"/>
        </w:rPr>
      </w:pPr>
      <w:hyperlink w:anchor="__RefHeading__3360_1951723236">
        <w:r>
          <w:rPr>
            <w:rStyle w:val="style41"/>
          </w:rPr>
          <w:t>2. Calls</w:t>
          <w:tab/>
          <w:t>6</w:t>
        </w:r>
      </w:hyperlink>
    </w:p>
    <w:p>
      <w:pPr>
        <w:pStyle w:val="style56"/>
        <w:tabs>
          <w:tab w:leader="dot" w:pos="8504" w:val="right"/>
        </w:tabs>
        <w:rPr>
          <w:rStyle w:val="style41"/>
        </w:rPr>
      </w:pPr>
      <w:hyperlink w:anchor="__RefHeading__3362_1951723236">
        <w:r>
          <w:rPr>
            <w:rStyle w:val="style41"/>
          </w:rPr>
          <w:t>Description</w:t>
          <w:tab/>
          <w:t>6</w:t>
        </w:r>
      </w:hyperlink>
    </w:p>
    <w:p>
      <w:pPr>
        <w:pStyle w:val="style57"/>
        <w:tabs>
          <w:tab w:leader="dot" w:pos="8504" w:val="right"/>
        </w:tabs>
        <w:rPr>
          <w:rStyle w:val="style41"/>
        </w:rPr>
      </w:pPr>
      <w:hyperlink w:anchor="__RefHeading__3364_1951723236">
        <w:r>
          <w:rPr>
            <w:rStyle w:val="style41"/>
          </w:rPr>
          <w:t>4. Project Selection</w:t>
          <w:tab/>
          <w:t>7</w:t>
        </w:r>
      </w:hyperlink>
    </w:p>
    <w:p>
      <w:pPr>
        <w:pStyle w:val="style56"/>
        <w:tabs>
          <w:tab w:leader="dot" w:pos="8504" w:val="right"/>
        </w:tabs>
        <w:rPr>
          <w:rStyle w:val="style41"/>
        </w:rPr>
      </w:pPr>
      <w:hyperlink w:anchor="__RefHeading__3366_1951723236">
        <w:r>
          <w:rPr>
            <w:rStyle w:val="style41"/>
          </w:rPr>
          <w:t>4.1 Selection Criteria</w:t>
          <w:tab/>
          <w:t>7</w:t>
        </w:r>
      </w:hyperlink>
    </w:p>
    <w:p>
      <w:pPr>
        <w:pStyle w:val="style56"/>
        <w:tabs>
          <w:tab w:leader="dot" w:pos="8504" w:val="right"/>
        </w:tabs>
        <w:rPr>
          <w:rStyle w:val="style41"/>
        </w:rPr>
      </w:pPr>
      <w:hyperlink w:anchor="__RefHeading__3368_1951723236">
        <w:r>
          <w:rPr>
            <w:rStyle w:val="style41"/>
          </w:rPr>
          <w:t>4.2 Access Committee</w:t>
          <w:tab/>
          <w:t>7</w:t>
        </w:r>
      </w:hyperlink>
    </w:p>
    <w:p>
      <w:pPr>
        <w:pStyle w:val="style56"/>
        <w:tabs>
          <w:tab w:leader="dot" w:pos="8504" w:val="right"/>
        </w:tabs>
        <w:rPr>
          <w:rStyle w:val="style41"/>
        </w:rPr>
      </w:pPr>
      <w:hyperlink w:anchor="__RefHeading__3370_1951723236">
        <w:r>
          <w:rPr>
            <w:rStyle w:val="style41"/>
          </w:rPr>
          <w:t>4.3 Approval of Proposals</w:t>
          <w:tab/>
          <w:t>8</w:t>
        </w:r>
      </w:hyperlink>
    </w:p>
    <w:p>
      <w:pPr>
        <w:pStyle w:val="style56"/>
        <w:tabs>
          <w:tab w:leader="dot" w:pos="8504" w:val="right"/>
        </w:tabs>
        <w:rPr>
          <w:rStyle w:val="style41"/>
        </w:rPr>
      </w:pPr>
      <w:hyperlink w:anchor="__RefHeading__3372_1951723236">
        <w:r>
          <w:rPr>
            <w:rStyle w:val="style41"/>
          </w:rPr>
          <w:t>4.4 Post-access requirements</w:t>
          <w:tab/>
          <w:t>8</w:t>
        </w:r>
      </w:hyperlink>
    </w:p>
    <w:p>
      <w:pPr>
        <w:pStyle w:val="style57"/>
        <w:tabs>
          <w:tab w:leader="dot" w:pos="8504" w:val="right"/>
        </w:tabs>
        <w:rPr>
          <w:rStyle w:val="style41"/>
        </w:rPr>
      </w:pPr>
      <w:hyperlink w:anchor="__RefHeading__3374_1951723236">
        <w:r>
          <w:rPr>
            <w:rStyle w:val="style41"/>
          </w:rPr>
          <w:t>5. Annexes A</w:t>
          <w:tab/>
          <w:t>8</w:t>
        </w:r>
      </w:hyperlink>
    </w:p>
    <w:p>
      <w:pPr>
        <w:pStyle w:val="style56"/>
        <w:tabs>
          <w:tab w:leader="dot" w:pos="8504" w:val="right"/>
        </w:tabs>
        <w:rPr>
          <w:rStyle w:val="style41"/>
        </w:rPr>
      </w:pPr>
      <w:hyperlink w:anchor="__RefHeading__3376_1951723236">
        <w:r>
          <w:rPr>
            <w:rStyle w:val="style41"/>
          </w:rPr>
          <w:t>A. 5.1: Summary description of SOCIB glider Facility in March 2014:</w:t>
          <w:tab/>
          <w:t>8</w:t>
        </w:r>
      </w:hyperlink>
      <w:r>
        <w:fldChar w:fldCharType="end"/>
      </w:r>
    </w:p>
    <w:p>
      <w:pPr>
        <w:sectPr>
          <w:type w:val="continuous"/>
          <w:pgSz w:h="16838" w:w="11906"/>
          <w:pgMar w:bottom="1418" w:footer="364" w:gutter="0" w:header="426" w:left="1701" w:right="1701" w:top="2127"/>
          <w:formProt/>
          <w:textDirection w:val="lrTb"/>
          <w:docGrid w:charSpace="0" w:linePitch="360" w:type="default"/>
        </w:sectPr>
      </w:pPr>
    </w:p>
    <w:p>
      <w:pPr>
        <w:pStyle w:val="style0"/>
        <w:rPr>
          <w:bCs/>
        </w:rPr>
      </w:pPr>
      <w:r>
        <w:rPr>
          <w:bCs/>
        </w:rPr>
      </w:r>
    </w:p>
    <w:p>
      <w:pPr>
        <w:pStyle w:val="style0"/>
        <w:rPr>
          <w:rFonts w:ascii="Arial" w:hAnsi="Arial"/>
        </w:rPr>
      </w:pPr>
      <w:r>
        <w:rPr>
          <w:rFonts w:ascii="Arial" w:hAnsi="Arial"/>
        </w:rPr>
      </w:r>
    </w:p>
    <w:p>
      <w:pPr>
        <w:pStyle w:val="style0"/>
        <w:spacing w:after="0" w:before="280"/>
        <w:contextualSpacing w:val="false"/>
        <w:jc w:val="center"/>
        <w:rPr>
          <w:rFonts w:ascii="Arial" w:eastAsia="Times New Roman" w:hAnsi="Arial"/>
          <w:b/>
          <w:bCs/>
        </w:rPr>
      </w:pPr>
      <w:bookmarkStart w:id="42" w:name="_Toc382218429"/>
      <w:bookmarkStart w:id="43" w:name="_Toc382218431"/>
      <w:bookmarkStart w:id="44" w:name="_Toc382218429"/>
      <w:bookmarkStart w:id="45" w:name="_Toc382218431"/>
      <w:bookmarkEnd w:id="44"/>
      <w:bookmarkEnd w:id="45"/>
      <w:r>
        <w:rPr>
          <w:rFonts w:ascii="Arial" w:eastAsia="Times New Roman" w:hAnsi="Arial"/>
          <w:b/>
          <w:bCs/>
        </w:rPr>
      </w:r>
    </w:p>
    <w:p>
      <w:pPr>
        <w:pStyle w:val="style0"/>
        <w:spacing w:after="0" w:before="280"/>
        <w:contextualSpacing w:val="false"/>
        <w:jc w:val="right"/>
        <w:rPr>
          <w:b/>
          <w:bCs/>
        </w:rPr>
      </w:pPr>
      <w:bookmarkStart w:id="46" w:name="_Toc382218431"/>
      <w:bookmarkStart w:id="47" w:name="_Toc382218431"/>
      <w:bookmarkEnd w:id="47"/>
      <w:r>
        <w:rPr>
          <w:b/>
          <w:bCs/>
        </w:rPr>
      </w:r>
    </w:p>
    <w:p>
      <w:pPr>
        <w:pStyle w:val="style1"/>
        <w:pageBreakBefore/>
        <w:shd w:fill="92CDDC" w:val="clear"/>
        <w:rPr>
          <w:rFonts w:ascii="Arial" w:hAnsi="Arial"/>
          <w:color w:val="1F497D"/>
          <w:sz w:val="24"/>
          <w:szCs w:val="24"/>
        </w:rPr>
      </w:pPr>
      <w:bookmarkStart w:id="48" w:name="__RefHeading__3350_1951723236"/>
      <w:bookmarkStart w:id="49" w:name="_Toc267127977"/>
      <w:bookmarkStart w:id="50" w:name="_Toc256262189"/>
      <w:bookmarkEnd w:id="48"/>
      <w:r>
        <w:rPr>
          <w:rFonts w:ascii="Arial" w:hAnsi="Arial"/>
          <w:color w:val="1F497D"/>
          <w:sz w:val="24"/>
          <w:szCs w:val="24"/>
        </w:rPr>
        <w:t xml:space="preserve">1. </w:t>
      </w:r>
      <w:bookmarkEnd w:id="50"/>
      <w:bookmarkEnd w:id="49"/>
      <w:r>
        <w:rPr>
          <w:rFonts w:ascii="Arial" w:hAnsi="Arial"/>
          <w:color w:val="1F497D"/>
          <w:sz w:val="24"/>
          <w:szCs w:val="24"/>
        </w:rPr>
        <w:t>Access Protocol and guidelines</w:t>
      </w:r>
    </w:p>
    <w:p>
      <w:pPr>
        <w:pStyle w:val="style2"/>
        <w:spacing w:after="280" w:before="280"/>
        <w:contextualSpacing w:val="false"/>
        <w:rPr>
          <w:rFonts w:ascii="Arial" w:hAnsi="Arial"/>
          <w:bCs w:val="false"/>
          <w:sz w:val="24"/>
          <w:szCs w:val="24"/>
          <w:u w:val="single"/>
        </w:rPr>
      </w:pPr>
      <w:bookmarkStart w:id="51" w:name="__RefHeading__3352_1951723236"/>
      <w:bookmarkStart w:id="52" w:name="_Toc267127978"/>
      <w:bookmarkStart w:id="53" w:name="_Toc256262190"/>
      <w:bookmarkEnd w:id="51"/>
      <w:bookmarkEnd w:id="52"/>
      <w:bookmarkEnd w:id="53"/>
      <w:r>
        <w:rPr>
          <w:rFonts w:ascii="Arial" w:hAnsi="Arial"/>
          <w:bCs w:val="false"/>
          <w:sz w:val="24"/>
          <w:szCs w:val="24"/>
          <w:u w:val="single"/>
        </w:rPr>
        <w:t>1.1 General Overview</w:t>
      </w:r>
    </w:p>
    <w:p>
      <w:pPr>
        <w:pStyle w:val="style0"/>
        <w:spacing w:after="0" w:before="280"/>
        <w:contextualSpacing w:val="false"/>
        <w:jc w:val="both"/>
        <w:rPr>
          <w:rFonts w:ascii="Arial" w:hAnsi="Arial"/>
        </w:rPr>
      </w:pPr>
      <w:r>
        <w:rPr>
          <w:rFonts w:ascii="Arial" w:hAnsi="Arial"/>
          <w:b/>
        </w:rPr>
        <w:t>SOCIB is offering access to its glider fleet</w:t>
      </w:r>
      <w:r>
        <w:rPr>
          <w:rFonts w:ascii="Arial" w:hAnsi="Arial"/>
        </w:rPr>
        <w:t xml:space="preserve"> based in the Balearic Islands as described at </w:t>
      </w:r>
      <w:hyperlink r:id="rId8">
        <w:r>
          <w:rPr>
            <w:rStyle w:val="style19"/>
            <w:rFonts w:ascii="Arial" w:hAnsi="Arial"/>
          </w:rPr>
          <w:t>www.socib.es</w:t>
        </w:r>
      </w:hyperlink>
      <w:r>
        <w:rPr>
          <w:rFonts w:ascii="Arial" w:hAnsi="Arial"/>
        </w:rPr>
        <w:t>. This is a unique opportunity for scientists and engineers to use high-quality autonomous underwater infrastructures operating in coastal, shelf and open sea areas for carrying out research, monitoring and/or testing activities.</w:t>
      </w:r>
    </w:p>
    <w:p>
      <w:pPr>
        <w:pStyle w:val="style0"/>
        <w:spacing w:after="0" w:before="280"/>
        <w:contextualSpacing w:val="false"/>
        <w:jc w:val="both"/>
        <w:rPr>
          <w:rFonts w:ascii="Arial" w:hAnsi="Arial"/>
        </w:rPr>
      </w:pPr>
      <w:r>
        <w:rPr>
          <w:rFonts w:ascii="Arial" w:hAnsi="Arial"/>
          <w:b/>
        </w:rPr>
        <w:t>SOCIB’s Glider Facility offers External Users Access</w:t>
      </w:r>
      <w:r>
        <w:rPr>
          <w:rFonts w:ascii="Arial" w:hAnsi="Arial"/>
        </w:rPr>
        <w:t xml:space="preserve"> to ocean gliders, global leading edge platforms for international research and technology development, to complement its routine and strategic programme of glider endurance lines in the Mediterranean (up to 152 days in 2013). Since 2013, the available time for External Users Access is 90 days per year (96 effectively in 2013 due to a glider battery problem in the 1</w:t>
      </w:r>
      <w:r>
        <w:rPr>
          <w:rFonts w:ascii="Arial" w:hAnsi="Arial"/>
          <w:vertAlign w:val="superscript"/>
        </w:rPr>
        <w:t>st</w:t>
      </w:r>
      <w:r>
        <w:rPr>
          <w:rFonts w:ascii="Arial" w:hAnsi="Arial"/>
        </w:rPr>
        <w:t xml:space="preserve"> deployment). For process-oriented studies (for example complementing a dedicated R/V cruise), a minimum of 7 days usage is required. Longer monitoring proposals of typically 30 days or more are encouraged.</w:t>
      </w:r>
    </w:p>
    <w:p>
      <w:pPr>
        <w:pStyle w:val="style0"/>
        <w:spacing w:after="0" w:before="280"/>
        <w:contextualSpacing w:val="false"/>
        <w:jc w:val="both"/>
        <w:rPr>
          <w:rFonts w:ascii="Arial" w:hAnsi="Arial"/>
        </w:rPr>
      </w:pPr>
      <w:r>
        <w:rPr>
          <w:rFonts w:ascii="Arial" w:hAnsi="Arial"/>
        </w:rPr>
        <w:t xml:space="preserve">This document presents the </w:t>
      </w:r>
      <w:r>
        <w:rPr>
          <w:rFonts w:ascii="Arial" w:hAnsi="Arial"/>
          <w:b/>
        </w:rPr>
        <w:t>External Users Access Protocol and Guidelines</w:t>
      </w:r>
      <w:r>
        <w:rPr>
          <w:rFonts w:ascii="Arial" w:hAnsi="Arial"/>
        </w:rPr>
        <w:t xml:space="preserve"> and follows the EU Trans-National Access Programme (TNA) and other similar type of guidelines (e.g., the UPS 855 INSU/SDU “</w:t>
      </w:r>
      <w:r>
        <w:rPr>
          <w:rFonts w:ascii="Arial" w:hAnsi="Arial"/>
          <w:i/>
        </w:rPr>
        <w:t>Formulaire de demande de mise à disposition de gliders”</w:t>
      </w:r>
      <w:r>
        <w:rPr>
          <w:rFonts w:ascii="Arial" w:hAnsi="Arial"/>
        </w:rPr>
        <w:t xml:space="preserve"> in France); specifically glider TNA access for external users was enabled through the </w:t>
      </w:r>
      <w:hyperlink r:id="rId9">
        <w:r>
          <w:rPr>
            <w:rStyle w:val="style19"/>
            <w:rFonts w:ascii="Arial" w:hAnsi="Arial"/>
          </w:rPr>
          <w:t>JERICO</w:t>
        </w:r>
      </w:hyperlink>
      <w:r>
        <w:rPr>
          <w:rFonts w:ascii="Arial" w:hAnsi="Arial"/>
        </w:rPr>
        <w:t xml:space="preserve"> EU funded project</w:t>
      </w:r>
      <w:r>
        <w:rPr>
          <w:rStyle w:val="style43"/>
          <w:rFonts w:ascii="Arial" w:hAnsi="Arial"/>
        </w:rPr>
        <w:footnoteReference w:id="2"/>
      </w:r>
      <w:r>
        <w:rPr>
          <w:rFonts w:ascii="Arial" w:hAnsi="Arial"/>
        </w:rPr>
        <w:t xml:space="preserve">, successfully implemented during 2013. </w:t>
      </w:r>
    </w:p>
    <w:p>
      <w:pPr>
        <w:pStyle w:val="style0"/>
        <w:spacing w:after="0" w:before="280"/>
        <w:contextualSpacing w:val="false"/>
        <w:jc w:val="both"/>
        <w:rPr>
          <w:rFonts w:ascii="Arial" w:hAnsi="Arial"/>
        </w:rPr>
      </w:pPr>
      <w:r>
        <w:rPr>
          <w:rFonts w:ascii="Arial" w:hAnsi="Arial"/>
          <w:b/>
        </w:rPr>
        <w:t xml:space="preserve">An external user group </w:t>
      </w:r>
      <w:r>
        <w:rPr>
          <w:rFonts w:ascii="Arial" w:hAnsi="Arial"/>
        </w:rPr>
        <w:t xml:space="preserve">can be a single researcher (user) or a team of two or more researchers (users). The external user will have to prepare a proposal in line with the template provided in Annex A.5.2. It is suggested that external user groups interact with the manager of the SOCIB Glider Facility during the preparation of proposals. </w:t>
      </w:r>
    </w:p>
    <w:p>
      <w:pPr>
        <w:pStyle w:val="style0"/>
        <w:spacing w:after="0" w:before="280"/>
        <w:contextualSpacing w:val="false"/>
        <w:jc w:val="both"/>
        <w:rPr>
          <w:rFonts w:ascii="Arial" w:hAnsi="Arial"/>
        </w:rPr>
      </w:pPr>
      <w:r>
        <w:rPr>
          <w:rFonts w:ascii="Arial" w:hAnsi="Arial"/>
          <w:b/>
        </w:rPr>
        <w:t>Competitive access</w:t>
      </w:r>
      <w:r>
        <w:rPr>
          <w:rFonts w:ascii="Arial" w:hAnsi="Arial"/>
        </w:rPr>
        <w:t xml:space="preserve"> to SOCIB Gliders is available through two dedicated project calls per year.</w:t>
      </w:r>
    </w:p>
    <w:p>
      <w:pPr>
        <w:pStyle w:val="style0"/>
        <w:spacing w:after="0" w:before="280"/>
        <w:contextualSpacing w:val="false"/>
        <w:jc w:val="both"/>
        <w:rPr>
          <w:rFonts w:ascii="Arial" w:hAnsi="Arial"/>
        </w:rPr>
      </w:pPr>
      <w:r>
        <w:rPr>
          <w:rFonts w:ascii="Arial" w:hAnsi="Arial"/>
          <w:b/>
        </w:rPr>
        <w:t>The evaluation</w:t>
      </w:r>
      <w:r>
        <w:rPr>
          <w:rFonts w:ascii="Arial" w:hAnsi="Arial"/>
        </w:rPr>
        <w:t xml:space="preserve"> of submitted proposals will be conducted on the basis of scientific excellence, enhancement of technology development and response to key societal challenges (e.g., MSFD implementation support activities).</w:t>
      </w:r>
    </w:p>
    <w:p>
      <w:pPr>
        <w:pStyle w:val="style0"/>
        <w:spacing w:after="0" w:before="280"/>
        <w:contextualSpacing w:val="false"/>
        <w:jc w:val="both"/>
        <w:rPr>
          <w:rFonts w:ascii="Arial" w:hAnsi="Arial"/>
        </w:rPr>
      </w:pPr>
      <w:r>
        <w:rPr>
          <w:rFonts w:ascii="Arial" w:hAnsi="Arial"/>
          <w:b/>
        </w:rPr>
        <w:t>The Access granted to a specific experiment generally includes</w:t>
      </w:r>
      <w:bookmarkStart w:id="54" w:name="_Toc256262194"/>
      <w:r>
        <w:rPr>
          <w:rFonts w:ascii="Arial" w:hAnsi="Arial"/>
        </w:rPr>
        <w:t xml:space="preserve"> support from SOCIB on: mission preparation and setup, training and logistical, technical, data management and scientific advice.</w:t>
      </w:r>
    </w:p>
    <w:p>
      <w:pPr>
        <w:pStyle w:val="style0"/>
        <w:spacing w:after="0" w:before="280"/>
        <w:contextualSpacing w:val="false"/>
        <w:jc w:val="both"/>
        <w:rPr>
          <w:rFonts w:ascii="Arial" w:hAnsi="Arial"/>
        </w:rPr>
      </w:pPr>
      <w:r>
        <w:rPr>
          <w:rFonts w:ascii="Arial" w:hAnsi="Arial"/>
          <w:b/>
        </w:rPr>
        <w:t>Dedicated calls in emergent themes</w:t>
      </w:r>
      <w:bookmarkEnd w:id="54"/>
      <w:r>
        <w:rPr>
          <w:rFonts w:ascii="Arial" w:hAnsi="Arial"/>
          <w:b/>
        </w:rPr>
        <w:t xml:space="preserve"> in the near future:</w:t>
      </w:r>
      <w:r>
        <w:rPr>
          <w:rFonts w:ascii="Arial" w:hAnsi="Arial"/>
        </w:rPr>
        <w:t xml:space="preserve"> SOCIB will encourage the development of dedicated calls in emergent international themes where there is an opportunity for the overall achievement to be much greater than simply the sum of the individual proposals. Any such theme will follow an opportunity linked for example, to either a natural event (this could be an active under-sea volcano or a meteo-tsunami event etc.) or a community driver (acknowledging the timing of a consortium project -like JERICO or GROOM-). Dedicated calls will be clearly advertised.</w:t>
      </w:r>
    </w:p>
    <w:p>
      <w:pPr>
        <w:pStyle w:val="style2"/>
        <w:spacing w:after="280" w:before="280"/>
        <w:contextualSpacing w:val="false"/>
        <w:jc w:val="both"/>
        <w:rPr>
          <w:rFonts w:ascii="Arial" w:hAnsi="Arial"/>
          <w:b w:val="false"/>
          <w:bCs w:val="false"/>
          <w:sz w:val="24"/>
          <w:szCs w:val="24"/>
        </w:rPr>
      </w:pPr>
      <w:r>
        <w:rPr>
          <w:rFonts w:ascii="Arial" w:hAnsi="Arial"/>
          <w:b w:val="false"/>
          <w:bCs w:val="false"/>
          <w:sz w:val="24"/>
          <w:szCs w:val="24"/>
        </w:rPr>
      </w:r>
    </w:p>
    <w:p>
      <w:pPr>
        <w:pStyle w:val="style2"/>
        <w:spacing w:after="280" w:before="280"/>
        <w:contextualSpacing w:val="false"/>
        <w:rPr>
          <w:rFonts w:ascii="Arial" w:hAnsi="Arial"/>
          <w:bCs w:val="false"/>
          <w:sz w:val="24"/>
          <w:szCs w:val="24"/>
          <w:u w:val="single"/>
        </w:rPr>
      </w:pPr>
      <w:bookmarkStart w:id="55" w:name="__RefHeading__3354_1951723236"/>
      <w:bookmarkStart w:id="56" w:name="_Toc267127979"/>
      <w:bookmarkStart w:id="57" w:name="_Toc256262191"/>
      <w:bookmarkEnd w:id="55"/>
      <w:r>
        <w:rPr>
          <w:rFonts w:ascii="Arial" w:hAnsi="Arial"/>
          <w:bCs w:val="false"/>
          <w:sz w:val="24"/>
          <w:szCs w:val="24"/>
          <w:u w:val="single"/>
          <w:lang w:val="en-US"/>
        </w:rPr>
        <w:t>1</w:t>
      </w:r>
      <w:bookmarkEnd w:id="56"/>
      <w:bookmarkEnd w:id="57"/>
      <w:r>
        <w:rPr>
          <w:rFonts w:ascii="Arial" w:hAnsi="Arial"/>
          <w:bCs w:val="false"/>
          <w:sz w:val="24"/>
          <w:szCs w:val="24"/>
          <w:u w:val="single"/>
        </w:rPr>
        <w:t>.2 Eligibility</w:t>
      </w:r>
    </w:p>
    <w:p>
      <w:pPr>
        <w:pStyle w:val="style0"/>
        <w:spacing w:after="0" w:before="280"/>
        <w:contextualSpacing w:val="false"/>
        <w:jc w:val="both"/>
        <w:rPr>
          <w:rFonts w:ascii="Arial" w:hAnsi="Arial"/>
        </w:rPr>
      </w:pPr>
      <w:r>
        <w:rPr>
          <w:rFonts w:ascii="Arial" w:hAnsi="Arial"/>
        </w:rPr>
        <w:t>Broad eligibility requirements ensure open research access and also access to commercial organisations; a user group must simply satisfy one of the following conditions.</w:t>
      </w:r>
    </w:p>
    <w:p>
      <w:pPr>
        <w:pStyle w:val="style0"/>
        <w:spacing w:after="0" w:before="280"/>
        <w:contextualSpacing w:val="false"/>
        <w:jc w:val="both"/>
        <w:rPr>
          <w:rFonts w:ascii="Arial" w:hAnsi="Arial"/>
        </w:rPr>
      </w:pPr>
      <w:r>
        <w:rPr>
          <w:rFonts w:ascii="Arial" w:hAnsi="Arial"/>
        </w:rPr>
        <w:t xml:space="preserve">a) The user group leader and the majority of the users work in an academic and/or ‘not-for-profit’ institution established in a Member State of the European Union or a State associated with the 7th Framework Programme and H2020. Costs will generally be met by the user group and/or the project grant holder unless SOCIB is explicitly funded as the glider provider in the original grant proposal. </w:t>
      </w:r>
    </w:p>
    <w:p>
      <w:pPr>
        <w:pStyle w:val="style0"/>
        <w:spacing w:after="0" w:before="280"/>
        <w:contextualSpacing w:val="false"/>
        <w:jc w:val="both"/>
        <w:rPr>
          <w:rFonts w:ascii="Arial" w:hAnsi="Arial"/>
        </w:rPr>
      </w:pPr>
      <w:r>
        <w:rPr>
          <w:rFonts w:ascii="Arial" w:hAnsi="Arial"/>
        </w:rPr>
        <w:t>b) The user group leader and the majority of the users work in an academic and/or ‘not-for-profit’ institution outside of the European Union. For example, SOCIB encourages applications from southern Mediterranean states enhancing capacity building as specifically included in H2020 and Blue Growth Actions under BG14</w:t>
      </w:r>
      <w:r>
        <w:rPr>
          <w:rStyle w:val="style43"/>
          <w:rFonts w:ascii="Arial" w:hAnsi="Arial"/>
        </w:rPr>
        <w:footnoteReference w:id="3"/>
      </w:r>
      <w:r>
        <w:rPr>
          <w:rFonts w:ascii="Arial" w:hAnsi="Arial"/>
        </w:rPr>
        <w:t>. Costs will be met by the user and/or the project grant holder in Euros.</w:t>
      </w:r>
    </w:p>
    <w:p>
      <w:pPr>
        <w:pStyle w:val="style0"/>
        <w:spacing w:after="0" w:before="280"/>
        <w:contextualSpacing w:val="false"/>
        <w:jc w:val="both"/>
        <w:rPr>
          <w:rFonts w:ascii="Arial" w:hAnsi="Arial"/>
        </w:rPr>
      </w:pPr>
      <w:r>
        <w:rPr>
          <w:rFonts w:ascii="Arial" w:hAnsi="Arial"/>
        </w:rPr>
        <w:t>c) The user group is a commercial organization, in which case direct contact with the Office of the Director is suggested.</w:t>
      </w:r>
    </w:p>
    <w:p>
      <w:pPr>
        <w:pStyle w:val="style0"/>
        <w:spacing w:after="0" w:before="280"/>
        <w:contextualSpacing w:val="false"/>
        <w:jc w:val="both"/>
        <w:rPr>
          <w:rFonts w:ascii="Arial" w:hAnsi="Arial"/>
        </w:rPr>
      </w:pPr>
      <w:r>
        <w:rPr>
          <w:rFonts w:ascii="Arial" w:hAnsi="Arial"/>
        </w:rPr>
      </w:r>
    </w:p>
    <w:p>
      <w:pPr>
        <w:pStyle w:val="style0"/>
        <w:spacing w:after="0" w:before="280"/>
        <w:contextualSpacing w:val="false"/>
        <w:jc w:val="both"/>
        <w:rPr>
          <w:rFonts w:ascii="Arial" w:hAnsi="Arial"/>
        </w:rPr>
      </w:pPr>
      <w:r>
        <w:rPr>
          <w:rFonts w:ascii="Arial" w:hAnsi="Arial"/>
        </w:rPr>
      </w:r>
    </w:p>
    <w:p>
      <w:pPr>
        <w:pStyle w:val="style0"/>
        <w:spacing w:after="0" w:before="280"/>
        <w:contextualSpacing w:val="false"/>
        <w:jc w:val="both"/>
        <w:rPr>
          <w:rFonts w:ascii="Arial" w:hAnsi="Arial"/>
        </w:rPr>
      </w:pPr>
      <w:r>
        <w:rPr>
          <w:rFonts w:ascii="Arial" w:hAnsi="Arial"/>
        </w:rPr>
      </w:r>
    </w:p>
    <w:p>
      <w:pPr>
        <w:pStyle w:val="style2"/>
        <w:spacing w:after="280" w:before="280"/>
        <w:contextualSpacing w:val="false"/>
        <w:rPr>
          <w:rFonts w:ascii="Arial" w:hAnsi="Arial"/>
          <w:bCs w:val="false"/>
          <w:sz w:val="24"/>
          <w:szCs w:val="24"/>
          <w:u w:val="single"/>
        </w:rPr>
      </w:pPr>
      <w:bookmarkStart w:id="58" w:name="__RefHeading__3356_1951723236"/>
      <w:bookmarkStart w:id="59" w:name="_Toc267127980"/>
      <w:bookmarkStart w:id="60" w:name="_Toc256262192"/>
      <w:bookmarkEnd w:id="58"/>
      <w:r>
        <w:rPr>
          <w:rFonts w:ascii="Arial" w:hAnsi="Arial"/>
          <w:bCs w:val="false"/>
          <w:sz w:val="24"/>
          <w:szCs w:val="24"/>
          <w:u w:val="single"/>
        </w:rPr>
        <w:t>1.3 Type of Access</w:t>
      </w:r>
      <w:bookmarkEnd w:id="60"/>
      <w:bookmarkEnd w:id="59"/>
      <w:r>
        <w:rPr>
          <w:rFonts w:ascii="Arial" w:hAnsi="Arial"/>
          <w:bCs w:val="false"/>
          <w:sz w:val="24"/>
          <w:szCs w:val="24"/>
          <w:u w:val="single"/>
        </w:rPr>
        <w:t xml:space="preserve"> and Specific Complementary Services</w:t>
      </w:r>
    </w:p>
    <w:p>
      <w:pPr>
        <w:pStyle w:val="style0"/>
        <w:spacing w:after="0" w:before="280"/>
        <w:contextualSpacing w:val="false"/>
        <w:jc w:val="both"/>
        <w:rPr>
          <w:rFonts w:ascii="Arial" w:hAnsi="Arial"/>
        </w:rPr>
      </w:pPr>
      <w:r>
        <w:rPr>
          <w:rFonts w:ascii="Arial" w:hAnsi="Arial"/>
        </w:rPr>
        <w:t xml:space="preserve">Unless otherwise agreed, access to the Glider Facility by a user group is treated as a concession granted to use the infrastructure (one or several gliders, prior contact to SOCIB required to assure piloting and operation capabilities) in a dedicated experiment to collect specific data following the implementation of an automated measurement programme agreed between the user group and SOCIB. </w:t>
      </w:r>
    </w:p>
    <w:p>
      <w:pPr>
        <w:pStyle w:val="style0"/>
        <w:spacing w:after="0" w:before="280"/>
        <w:contextualSpacing w:val="false"/>
        <w:jc w:val="both"/>
        <w:rPr>
          <w:rFonts w:ascii="Arial" w:hAnsi="Arial"/>
        </w:rPr>
      </w:pPr>
      <w:r>
        <w:rPr>
          <w:rFonts w:ascii="Arial" w:hAnsi="Arial"/>
        </w:rPr>
        <w:t>A written contract or agreement between SOCIB and the user group will define the actions to be undertaken, the resources allocated, the period of planned user visits and/or training, the logistics of deployment and recovery, and the period of facility use, navigation piloting and data management. A template contract is provided in Annex A. 5.3. It will also define the rights and obligations of all the parties involved, including provisions for early termination of the conferred access or extensions if requested by a user group and mutually acceptable to SOCIB.</w:t>
      </w:r>
    </w:p>
    <w:p>
      <w:pPr>
        <w:pStyle w:val="style47"/>
        <w:spacing w:after="0" w:before="280"/>
        <w:contextualSpacing w:val="false"/>
        <w:rPr>
          <w:rFonts w:ascii="Arial" w:hAnsi="Arial"/>
          <w:sz w:val="24"/>
          <w:lang w:val="en-GB"/>
        </w:rPr>
      </w:pPr>
      <w:r>
        <w:rPr>
          <w:rFonts w:ascii="Arial" w:hAnsi="Arial"/>
          <w:sz w:val="24"/>
          <w:lang w:val="en-GB"/>
        </w:rPr>
        <w:t>The requested access to SOCIB’s Glider Facility and their available infrastructure can follow three modes:</w:t>
      </w:r>
    </w:p>
    <w:p>
      <w:pPr>
        <w:pStyle w:val="style0"/>
        <w:spacing w:after="0" w:before="280"/>
        <w:contextualSpacing w:val="false"/>
        <w:jc w:val="both"/>
        <w:rPr>
          <w:rFonts w:ascii="Arial" w:hAnsi="Arial"/>
        </w:rPr>
      </w:pPr>
      <w:r>
        <w:rPr>
          <w:rFonts w:ascii="Arial" w:hAnsi="Arial"/>
        </w:rPr>
        <w:t xml:space="preserve">•   </w:t>
      </w:r>
      <w:r>
        <w:rPr>
          <w:rFonts w:ascii="Arial" w:hAnsi="Arial"/>
          <w:b/>
          <w:bCs/>
        </w:rPr>
        <w:t>Remote</w:t>
      </w:r>
      <w:r>
        <w:rPr>
          <w:rFonts w:ascii="Arial" w:hAnsi="Arial"/>
        </w:rPr>
        <w:t>: the experiment is implemented by SOCIB and the presence of the user group is not required,</w:t>
      </w:r>
    </w:p>
    <w:p>
      <w:pPr>
        <w:pStyle w:val="style0"/>
        <w:spacing w:after="0" w:before="280"/>
        <w:contextualSpacing w:val="false"/>
        <w:jc w:val="both"/>
        <w:rPr>
          <w:rFonts w:ascii="Arial" w:hAnsi="Arial"/>
        </w:rPr>
      </w:pPr>
      <w:r>
        <w:rPr>
          <w:rFonts w:ascii="Arial" w:hAnsi="Arial"/>
        </w:rPr>
        <w:t xml:space="preserve">•   </w:t>
      </w:r>
      <w:r>
        <w:rPr>
          <w:rFonts w:ascii="Arial" w:hAnsi="Arial"/>
          <w:b/>
          <w:bCs/>
        </w:rPr>
        <w:t>Partially remote</w:t>
      </w:r>
      <w:r>
        <w:rPr>
          <w:rFonts w:ascii="Arial" w:hAnsi="Arial"/>
        </w:rPr>
        <w:t>: the presence of the user group is required at some stage of the experiment.</w:t>
      </w:r>
    </w:p>
    <w:p>
      <w:pPr>
        <w:pStyle w:val="style0"/>
        <w:spacing w:after="0" w:before="280"/>
        <w:contextualSpacing w:val="false"/>
        <w:jc w:val="both"/>
        <w:rPr>
          <w:rFonts w:ascii="Arial" w:hAnsi="Arial"/>
        </w:rPr>
      </w:pPr>
      <w:r>
        <w:rPr>
          <w:rFonts w:ascii="Arial" w:hAnsi="Arial"/>
        </w:rPr>
        <w:t xml:space="preserve">• </w:t>
      </w:r>
      <w:r>
        <w:rPr>
          <w:rFonts w:ascii="Arial" w:hAnsi="Arial"/>
          <w:b/>
          <w:bCs/>
        </w:rPr>
        <w:t>"In person/hands-on"</w:t>
      </w:r>
      <w:r>
        <w:rPr>
          <w:rFonts w:ascii="Arial" w:hAnsi="Arial"/>
        </w:rPr>
        <w:t>: the presence of the user group is required during the whole access period of the experiment.</w:t>
      </w:r>
    </w:p>
    <w:p>
      <w:pPr>
        <w:pStyle w:val="style0"/>
        <w:spacing w:after="0" w:before="280"/>
        <w:contextualSpacing w:val="false"/>
        <w:jc w:val="both"/>
        <w:rPr>
          <w:rFonts w:ascii="Arial" w:hAnsi="Arial"/>
        </w:rPr>
      </w:pPr>
      <w:r>
        <w:rPr>
          <w:rFonts w:ascii="Arial" w:hAnsi="Arial"/>
        </w:rPr>
        <w:t>Unless otherwise stated, the measurement programme shall be provided by the user group. However, in all instances potential users are encouraged to consult with the SOCIB Glider Facility at any stage in proposal development. Careful scheduling and synchronising of events by SOCIB will minimise costs and maximise return from the overall glider programme.</w:t>
      </w:r>
    </w:p>
    <w:p>
      <w:pPr>
        <w:pStyle w:val="style0"/>
        <w:spacing w:after="0" w:before="280"/>
        <w:contextualSpacing w:val="false"/>
        <w:jc w:val="both"/>
        <w:rPr>
          <w:rFonts w:ascii="Arial" w:hAnsi="Arial"/>
        </w:rPr>
      </w:pPr>
      <w:r>
        <w:rPr>
          <w:rFonts w:ascii="Arial" w:hAnsi="Arial"/>
          <w:b/>
        </w:rPr>
        <w:t>SOCIB will provide access to a number of specific complementary services</w:t>
      </w:r>
      <w:r>
        <w:rPr>
          <w:rFonts w:ascii="Arial" w:hAnsi="Arial"/>
        </w:rPr>
        <w:t xml:space="preserve">:  </w:t>
      </w:r>
    </w:p>
    <w:p>
      <w:pPr>
        <w:pStyle w:val="style0"/>
        <w:numPr>
          <w:ilvl w:val="0"/>
          <w:numId w:val="3"/>
        </w:numPr>
        <w:spacing w:after="0" w:before="280"/>
        <w:contextualSpacing w:val="false"/>
        <w:jc w:val="both"/>
        <w:rPr>
          <w:rFonts w:ascii="Arial" w:hAnsi="Arial"/>
        </w:rPr>
      </w:pPr>
      <w:r>
        <w:rPr>
          <w:rFonts w:ascii="Arial" w:hAnsi="Arial"/>
        </w:rPr>
        <w:t>Access to glider platforms prepared and ready for operation in line with the highest international standards.</w:t>
      </w:r>
    </w:p>
    <w:p>
      <w:pPr>
        <w:pStyle w:val="style0"/>
        <w:numPr>
          <w:ilvl w:val="0"/>
          <w:numId w:val="3"/>
        </w:numPr>
        <w:spacing w:after="0" w:before="280"/>
        <w:contextualSpacing w:val="false"/>
        <w:jc w:val="both"/>
        <w:rPr>
          <w:rFonts w:ascii="Arial" w:hAnsi="Arial"/>
        </w:rPr>
      </w:pPr>
      <w:r>
        <w:rPr>
          <w:rFonts w:ascii="Arial" w:hAnsi="Arial"/>
        </w:rPr>
        <w:t xml:space="preserve">Qualified personnel for the management of the gliders (platforms and sensors), including logistics for deployment and recovery. </w:t>
      </w:r>
    </w:p>
    <w:p>
      <w:pPr>
        <w:pStyle w:val="style0"/>
        <w:numPr>
          <w:ilvl w:val="0"/>
          <w:numId w:val="3"/>
        </w:numPr>
        <w:spacing w:after="0" w:before="280"/>
        <w:contextualSpacing w:val="false"/>
        <w:jc w:val="both"/>
        <w:rPr>
          <w:rFonts w:ascii="Arial" w:hAnsi="Arial"/>
        </w:rPr>
      </w:pPr>
      <w:r>
        <w:rPr>
          <w:rFonts w:ascii="Arial" w:hAnsi="Arial"/>
        </w:rPr>
        <w:t xml:space="preserve">A 24/7 operational system to pilot the gliders at sea. </w:t>
      </w:r>
    </w:p>
    <w:p>
      <w:pPr>
        <w:pStyle w:val="style0"/>
        <w:numPr>
          <w:ilvl w:val="0"/>
          <w:numId w:val="3"/>
        </w:numPr>
        <w:spacing w:after="0" w:before="280"/>
        <w:contextualSpacing w:val="false"/>
        <w:jc w:val="both"/>
        <w:rPr>
          <w:rFonts w:ascii="Arial" w:hAnsi="Arial"/>
        </w:rPr>
      </w:pPr>
      <w:r>
        <w:rPr>
          <w:rFonts w:ascii="Arial" w:hAnsi="Arial"/>
        </w:rPr>
        <w:t>Access to a collaborative piloting system.</w:t>
      </w:r>
    </w:p>
    <w:p>
      <w:pPr>
        <w:pStyle w:val="style0"/>
        <w:numPr>
          <w:ilvl w:val="0"/>
          <w:numId w:val="3"/>
        </w:numPr>
        <w:spacing w:after="0" w:before="280"/>
        <w:contextualSpacing w:val="false"/>
        <w:jc w:val="both"/>
        <w:rPr>
          <w:rFonts w:ascii="Arial" w:hAnsi="Arial"/>
        </w:rPr>
      </w:pPr>
      <w:r>
        <w:rPr>
          <w:rFonts w:ascii="Arial" w:hAnsi="Arial"/>
        </w:rPr>
        <w:t xml:space="preserve">Access to a collaborative Data Management system. </w:t>
      </w:r>
    </w:p>
    <w:p>
      <w:pPr>
        <w:pStyle w:val="style0"/>
        <w:numPr>
          <w:ilvl w:val="0"/>
          <w:numId w:val="3"/>
        </w:numPr>
        <w:spacing w:after="0" w:before="280"/>
        <w:contextualSpacing w:val="false"/>
        <w:jc w:val="both"/>
        <w:rPr>
          <w:rFonts w:ascii="Arial" w:hAnsi="Arial"/>
        </w:rPr>
      </w:pPr>
      <w:r>
        <w:rPr>
          <w:rFonts w:ascii="Arial" w:hAnsi="Arial"/>
        </w:rPr>
        <w:t>Quasi Real Time (usually less than 6 hours) reception of data and visualization system</w:t>
      </w:r>
    </w:p>
    <w:p>
      <w:pPr>
        <w:pStyle w:val="style0"/>
        <w:numPr>
          <w:ilvl w:val="0"/>
          <w:numId w:val="3"/>
        </w:numPr>
        <w:spacing w:after="0" w:before="280"/>
        <w:contextualSpacing w:val="false"/>
        <w:jc w:val="both"/>
        <w:rPr>
          <w:rFonts w:ascii="Arial" w:hAnsi="Arial"/>
        </w:rPr>
      </w:pPr>
      <w:r>
        <w:rPr>
          <w:rFonts w:ascii="Arial" w:hAnsi="Arial"/>
        </w:rPr>
        <w:t>State of the art quality control procedures (both for Real Time and Delayed Mode).</w:t>
      </w:r>
    </w:p>
    <w:p>
      <w:pPr>
        <w:pStyle w:val="style0"/>
        <w:numPr>
          <w:ilvl w:val="0"/>
          <w:numId w:val="3"/>
        </w:numPr>
        <w:spacing w:after="0" w:before="280"/>
        <w:contextualSpacing w:val="false"/>
        <w:jc w:val="both"/>
        <w:rPr>
          <w:rFonts w:ascii="Arial" w:hAnsi="Arial"/>
        </w:rPr>
      </w:pPr>
      <w:r>
        <w:rPr>
          <w:rFonts w:ascii="Arial" w:hAnsi="Arial"/>
        </w:rPr>
        <w:t>A SOCIB standard post mission glider report.</w:t>
      </w:r>
    </w:p>
    <w:p>
      <w:pPr>
        <w:pStyle w:val="style0"/>
        <w:numPr>
          <w:ilvl w:val="0"/>
          <w:numId w:val="3"/>
        </w:numPr>
        <w:spacing w:after="0" w:before="280"/>
        <w:contextualSpacing w:val="false"/>
        <w:jc w:val="both"/>
        <w:rPr>
          <w:rFonts w:ascii="Arial" w:hAnsi="Arial"/>
        </w:rPr>
      </w:pPr>
      <w:r>
        <w:rPr>
          <w:rFonts w:ascii="Arial" w:hAnsi="Arial"/>
        </w:rPr>
        <w:t xml:space="preserve">Delayed Mode data in NetCDF format.  </w:t>
      </w:r>
    </w:p>
    <w:p>
      <w:pPr>
        <w:pStyle w:val="style0"/>
        <w:rPr>
          <w:rFonts w:ascii="Arial" w:hAnsi="Arial"/>
        </w:rPr>
      </w:pPr>
      <w:r>
        <w:rPr>
          <w:rFonts w:ascii="Arial" w:hAnsi="Arial"/>
        </w:rPr>
      </w:r>
    </w:p>
    <w:p>
      <w:pPr>
        <w:pStyle w:val="style0"/>
        <w:rPr>
          <w:rFonts w:ascii="Arial" w:eastAsia="Times New Roman" w:hAnsi="Arial"/>
          <w:b/>
          <w:color w:val="1F497D"/>
        </w:rPr>
      </w:pPr>
      <w:r>
        <w:rPr>
          <w:rFonts w:ascii="Arial" w:eastAsia="Times New Roman" w:hAnsi="Arial"/>
          <w:b/>
          <w:color w:val="1F497D"/>
        </w:rPr>
      </w:r>
    </w:p>
    <w:p>
      <w:pPr>
        <w:pStyle w:val="style0"/>
        <w:keepNext/>
        <w:pageBreakBefore/>
        <w:shd w:fill="B6DDE8" w:val="clear"/>
        <w:spacing w:after="0" w:before="280"/>
        <w:contextualSpacing w:val="false"/>
        <w:rPr>
          <w:rFonts w:ascii="Arial" w:eastAsia="Times New Roman" w:hAnsi="Arial"/>
          <w:b/>
          <w:color w:val="1F497D"/>
        </w:rPr>
      </w:pPr>
      <w:bookmarkStart w:id="61" w:name="__RefHeading__3358_1951723236"/>
      <w:bookmarkEnd w:id="61"/>
      <w:r>
        <w:rPr>
          <w:rFonts w:ascii="Arial" w:eastAsia="Times New Roman" w:hAnsi="Arial"/>
          <w:b/>
          <w:color w:val="1F497D"/>
        </w:rPr>
        <w:t>2. Access Costs</w:t>
      </w:r>
    </w:p>
    <w:p>
      <w:pPr>
        <w:pStyle w:val="style0"/>
        <w:spacing w:after="0" w:before="280"/>
        <w:contextualSpacing w:val="false"/>
        <w:jc w:val="both"/>
        <w:rPr>
          <w:rFonts w:ascii="Arial" w:eastAsia="Times New Roman" w:hAnsi="Arial"/>
          <w:u w:val="single"/>
        </w:rPr>
      </w:pPr>
      <w:r>
        <w:rPr>
          <w:rFonts w:ascii="Arial" w:hAnsi="Arial"/>
        </w:rPr>
        <w:t xml:space="preserve">Access costs are detailed in the enclosed table approved by the Executive Commission from SOCIB in 2013. For academic and “not-for-profit” organisations, the charge for glider operation in 2014 is € 1.538 per diem, subject to a minimum of 7 days usage (longer monitoring proposals of typically 30 days or more are encouraged). This charge is broken down in the enclosed table 1. This charge covers all costs associated with glider operations. </w:t>
      </w:r>
      <w:bookmarkStart w:id="62" w:name="_Toc256262202"/>
      <w:bookmarkEnd w:id="62"/>
      <w:r>
        <w:rPr>
          <w:rFonts w:ascii="Arial" w:eastAsia="Times New Roman" w:hAnsi="Arial"/>
          <w:u w:val="single"/>
        </w:rPr>
        <w:t xml:space="preserve">  </w:t>
      </w:r>
    </w:p>
    <w:p>
      <w:pPr>
        <w:pStyle w:val="style0"/>
        <w:spacing w:after="0" w:before="280"/>
        <w:contextualSpacing w:val="false"/>
        <w:jc w:val="both"/>
        <w:rPr>
          <w:rFonts w:ascii="Arial" w:hAnsi="Arial"/>
        </w:rPr>
      </w:pPr>
      <w:r>
        <w:rPr>
          <w:rFonts w:ascii="Arial" w:hAnsi="Arial"/>
        </w:rPr>
      </w:r>
    </w:p>
    <w:tbl>
      <w:tblPr>
        <w:jc w:val="left"/>
        <w:tblInd w:type="dxa" w:w="0"/>
        <w:tblBorders>
          <w:top w:color="00000A" w:space="0" w:sz="8" w:val="single"/>
          <w:left w:color="00000A" w:space="0" w:sz="4" w:val="single"/>
          <w:bottom w:color="00000A" w:space="0" w:sz="8" w:val="single"/>
          <w:insideH w:color="00000A" w:space="0" w:sz="8" w:val="single"/>
          <w:right w:color="00000A" w:space="0" w:sz="4" w:val="single"/>
          <w:insideV w:color="00000A" w:space="0" w:sz="4" w:val="single"/>
        </w:tblBorders>
        <w:tblCellMar>
          <w:top w:type="dxa" w:w="0"/>
          <w:left w:type="dxa" w:w="65"/>
          <w:bottom w:type="dxa" w:w="0"/>
          <w:right w:type="dxa" w:w="70"/>
        </w:tblCellMar>
      </w:tblPr>
      <w:tblGrid>
        <w:gridCol w:w="7915"/>
        <w:gridCol w:w="1652"/>
      </w:tblGrid>
      <w:tr>
        <w:trPr>
          <w:trHeight w:hRule="atLeast" w:val="764"/>
          <w:cantSplit w:val="false"/>
        </w:trPr>
        <w:tc>
          <w:tcPr>
            <w:tcW w:type="dxa" w:w="7915"/>
            <w:gridSpan w:val="3"/>
            <w:tcBorders>
              <w:top w:color="00000A" w:space="0" w:sz="8" w:val="single"/>
              <w:left w:color="00000A" w:space="0" w:sz="4" w:val="single"/>
              <w:bottom w:color="00000A" w:space="0" w:sz="8" w:val="single"/>
              <w:right w:color="00000A" w:space="0" w:sz="4" w:val="single"/>
            </w:tcBorders>
            <w:shd w:fill="FFCC99" w:val="clear"/>
            <w:tcMar>
              <w:left w:type="dxa" w:w="65"/>
            </w:tcMar>
            <w:vAlign w:val="bottom"/>
          </w:tcPr>
          <w:p>
            <w:pPr>
              <w:pStyle w:val="style0"/>
              <w:rPr>
                <w:rFonts w:ascii="Arial" w:cs="Arial" w:hAnsi="Arial"/>
                <w:b/>
                <w:sz w:val="18"/>
                <w:szCs w:val="18"/>
              </w:rPr>
            </w:pPr>
            <w:r>
              <w:rPr>
                <w:rFonts w:ascii="Arial" w:cs="Arial" w:hAnsi="Arial"/>
                <w:b/>
                <w:sz w:val="18"/>
                <w:szCs w:val="18"/>
              </w:rPr>
              <w:t>A.  Description of the eligible costs in the lifespan of the gliders in SOCIB</w:t>
            </w:r>
          </w:p>
          <w:p>
            <w:pPr>
              <w:pStyle w:val="style0"/>
              <w:rPr>
                <w:rFonts w:ascii="Arial" w:cs="Arial" w:hAnsi="Arial"/>
                <w:sz w:val="18"/>
                <w:szCs w:val="18"/>
              </w:rPr>
            </w:pPr>
            <w:r>
              <w:rPr>
                <w:rFonts w:ascii="Arial" w:cs="Arial" w:hAnsi="Arial"/>
                <w:sz w:val="18"/>
                <w:szCs w:val="18"/>
              </w:rPr>
              <w:t xml:space="preserve"> </w:t>
            </w:r>
          </w:p>
        </w:tc>
        <w:tc>
          <w:tcPr>
            <w:tcW w:type="dxa" w:w="1652"/>
            <w:tcBorders>
              <w:top w:color="00000A" w:space="0" w:sz="8" w:val="single"/>
              <w:left w:val="nil"/>
              <w:bottom w:color="00000A" w:space="0" w:sz="8" w:val="single"/>
              <w:right w:color="00000A" w:space="0" w:sz="8" w:val="single"/>
            </w:tcBorders>
            <w:shd w:fill="FFCC99" w:val="clear"/>
            <w:vAlign w:val="bottom"/>
          </w:tcPr>
          <w:p>
            <w:pPr>
              <w:pStyle w:val="style0"/>
              <w:rPr>
                <w:rFonts w:ascii="Arial" w:cs="Arial" w:hAnsi="Arial"/>
                <w:b/>
                <w:bCs/>
                <w:sz w:val="18"/>
                <w:szCs w:val="18"/>
              </w:rPr>
            </w:pPr>
            <w:r>
              <w:rPr>
                <w:rFonts w:ascii="Arial" w:cs="Arial" w:hAnsi="Arial"/>
                <w:b/>
                <w:sz w:val="18"/>
                <w:szCs w:val="18"/>
              </w:rPr>
              <w:t>Eligible costs (€)</w:t>
            </w:r>
            <w:r>
              <w:rPr>
                <w:rFonts w:ascii="Arial" w:cs="Arial" w:hAnsi="Arial"/>
                <w:b/>
                <w:bCs/>
                <w:sz w:val="18"/>
                <w:szCs w:val="18"/>
              </w:rPr>
              <w:t xml:space="preserve"> </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Costs of maintenance (sensors, consumables, etc.)</w:t>
            </w:r>
          </w:p>
        </w:tc>
        <w:tc>
          <w:tcPr>
            <w:tcW w:type="dxa" w:w="1652"/>
            <w:tcBorders>
              <w:top w:color="00000A" w:space="0" w:sz="4" w:val="single"/>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225.000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Travel and transportation for maintenance</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15.000</w:t>
            </w:r>
          </w:p>
        </w:tc>
      </w:tr>
      <w:tr>
        <w:trPr>
          <w:trHeight w:hRule="atLeast" w:val="230"/>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Telecommunication costs</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 xml:space="preserve"> </w:t>
            </w:r>
            <w:r>
              <w:rPr>
                <w:rFonts w:ascii="Arial" w:cs="Arial" w:hAnsi="Arial"/>
                <w:sz w:val="18"/>
                <w:szCs w:val="18"/>
              </w:rPr>
              <w:t>135.000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Sensor calibration</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60.000</w:t>
            </w:r>
          </w:p>
        </w:tc>
      </w:tr>
      <w:tr>
        <w:trPr>
          <w:trHeight w:hRule="atLeast" w:val="230"/>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Insurance</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60.000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Toxic treatment (batteries)</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2.000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Data process costs</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66.840 </w:t>
            </w:r>
          </w:p>
        </w:tc>
      </w:tr>
      <w:tr>
        <w:trPr>
          <w:trHeight w:hRule="atLeast" w:val="245"/>
          <w:cantSplit w:val="false"/>
        </w:trPr>
        <w:tc>
          <w:tcPr>
            <w:tcW w:type="dxa" w:w="7915"/>
            <w:gridSpan w:val="3"/>
            <w:tcBorders>
              <w:top w:color="00000A" w:space="0" w:sz="4" w:val="single"/>
              <w:left w:color="00000A" w:space="0" w:sz="4" w:val="single"/>
              <w:bottom w:val="nil"/>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Personnel training</w:t>
            </w:r>
          </w:p>
        </w:tc>
        <w:tc>
          <w:tcPr>
            <w:tcW w:type="dxa" w:w="1652"/>
            <w:tcBorders>
              <w:top w:val="nil"/>
              <w:left w:val="nil"/>
              <w:bottom w:color="00000A" w:space="0" w:sz="8"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34.128 </w:t>
            </w:r>
          </w:p>
        </w:tc>
      </w:tr>
      <w:tr>
        <w:trPr>
          <w:trHeight w:hRule="atLeast" w:val="390"/>
          <w:cantSplit w:val="false"/>
        </w:trPr>
        <w:tc>
          <w:tcPr>
            <w:tcW w:type="dxa" w:w="7915"/>
            <w:gridSpan w:val="3"/>
            <w:tcBorders>
              <w:top w:color="00000A" w:space="0" w:sz="4" w:val="single"/>
              <w:left w:color="00000A" w:space="0" w:sz="4" w:val="single"/>
              <w:bottom w:val="nil"/>
              <w:right w:color="00000A" w:space="0" w:sz="4" w:val="single"/>
            </w:tcBorders>
            <w:shd w:fill="FFCC99" w:val="clear"/>
            <w:tcMar>
              <w:left w:type="dxa" w:w="65"/>
            </w:tcMar>
            <w:vAlign w:val="bottom"/>
          </w:tcPr>
          <w:p>
            <w:pPr>
              <w:pStyle w:val="style0"/>
              <w:jc w:val="right"/>
              <w:rPr>
                <w:rFonts w:ascii="Arial" w:cs="Arial" w:hAnsi="Arial"/>
                <w:b/>
                <w:bCs/>
                <w:sz w:val="18"/>
                <w:szCs w:val="18"/>
              </w:rPr>
            </w:pPr>
            <w:r>
              <w:rPr>
                <w:rFonts w:ascii="Arial" w:cs="Arial" w:hAnsi="Arial"/>
                <w:sz w:val="18"/>
                <w:szCs w:val="18"/>
              </w:rPr>
              <w:t> </w:t>
            </w:r>
            <w:r>
              <w:rPr>
                <w:rFonts w:ascii="Arial" w:cs="Arial" w:hAnsi="Arial"/>
                <w:b/>
                <w:bCs/>
                <w:sz w:val="18"/>
                <w:szCs w:val="18"/>
              </w:rPr>
              <w:t>Total A</w:t>
            </w:r>
          </w:p>
        </w:tc>
        <w:tc>
          <w:tcPr>
            <w:tcW w:type="dxa" w:w="1652"/>
            <w:tcBorders>
              <w:top w:color="00000A" w:space="0" w:sz="8" w:val="single"/>
              <w:left w:val="nil"/>
              <w:bottom w:val="nil"/>
              <w:right w:color="00000A" w:space="0" w:sz="8" w:val="single"/>
            </w:tcBorders>
            <w:shd w:fill="CCFFFF" w:val="clear"/>
            <w:vAlign w:val="bottom"/>
          </w:tcPr>
          <w:p>
            <w:pPr>
              <w:pStyle w:val="style0"/>
              <w:jc w:val="right"/>
              <w:rPr>
                <w:rFonts w:ascii="Arial" w:cs="Arial" w:hAnsi="Arial"/>
                <w:b/>
                <w:sz w:val="18"/>
                <w:szCs w:val="18"/>
              </w:rPr>
            </w:pPr>
            <w:r>
              <w:rPr>
                <w:rFonts w:ascii="Arial" w:cs="Arial" w:hAnsi="Arial"/>
                <w:b/>
                <w:sz w:val="18"/>
                <w:szCs w:val="18"/>
              </w:rPr>
              <w:t>597.968 </w:t>
            </w:r>
          </w:p>
        </w:tc>
      </w:tr>
      <w:tr>
        <w:trPr>
          <w:trHeight w:hRule="atLeast" w:val="230"/>
          <w:cantSplit w:val="false"/>
        </w:trPr>
        <w:tc>
          <w:tcPr>
            <w:tcW w:type="dxa" w:w="4499"/>
            <w:tcBorders>
              <w:top w:color="00000A" w:space="0" w:sz="8" w:val="single"/>
              <w:left w:color="00000A" w:space="0" w:sz="4" w:val="single"/>
              <w:bottom w:val="nil"/>
              <w:right w:color="00000A" w:space="0" w:sz="4" w:val="single"/>
            </w:tcBorders>
            <w:shd w:fill="FFCC99" w:val="clear"/>
            <w:tcMar>
              <w:left w:type="dxa" w:w="65"/>
            </w:tcMar>
            <w:vAlign w:val="bottom"/>
          </w:tcPr>
          <w:p>
            <w:pPr>
              <w:pStyle w:val="style0"/>
              <w:jc w:val="center"/>
              <w:rPr>
                <w:rFonts w:ascii="Arial" w:cs="Arial" w:hAnsi="Arial"/>
                <w:b/>
                <w:sz w:val="18"/>
                <w:szCs w:val="18"/>
              </w:rPr>
            </w:pPr>
            <w:r>
              <w:rPr>
                <w:rFonts w:ascii="Arial" w:cs="Arial" w:hAnsi="Arial"/>
                <w:b/>
                <w:sz w:val="18"/>
                <w:szCs w:val="18"/>
              </w:rPr>
              <w:t>B.  Category of staff</w:t>
            </w:r>
          </w:p>
        </w:tc>
        <w:tc>
          <w:tcPr>
            <w:tcW w:type="dxa" w:w="2256"/>
            <w:tcBorders>
              <w:top w:color="00000A" w:space="0" w:sz="8" w:val="single"/>
              <w:left w:val="nil"/>
              <w:bottom w:val="nil"/>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Number of hours</w:t>
            </w:r>
          </w:p>
        </w:tc>
        <w:tc>
          <w:tcPr>
            <w:tcW w:type="dxa" w:w="1159"/>
            <w:tcBorders>
              <w:top w:color="00000A" w:space="0" w:sz="4" w:val="single"/>
              <w:left w:val="nil"/>
              <w:bottom w:val="nil"/>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Hourly rate</w:t>
            </w:r>
          </w:p>
        </w:tc>
        <w:tc>
          <w:tcPr>
            <w:tcW w:type="dxa" w:w="1653"/>
            <w:tcBorders>
              <w:top w:color="00000A" w:space="0" w:sz="4" w:val="single"/>
              <w:left w:val="nil"/>
              <w:bottom w:val="nil"/>
              <w:right w:color="00000A" w:space="0" w:sz="8"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 xml:space="preserve">  </w:t>
            </w:r>
            <w:r>
              <w:rPr>
                <w:rFonts w:ascii="Arial" w:cs="Arial" w:hAnsi="Arial"/>
                <w:b/>
                <w:bCs/>
                <w:sz w:val="18"/>
                <w:szCs w:val="18"/>
              </w:rPr>
              <w:t>(3) =</w:t>
            </w:r>
          </w:p>
        </w:tc>
      </w:tr>
      <w:tr>
        <w:trPr>
          <w:trHeight w:hRule="atLeast" w:val="250"/>
          <w:cantSplit w:val="false"/>
        </w:trPr>
        <w:tc>
          <w:tcPr>
            <w:tcW w:type="dxa" w:w="4499"/>
            <w:tcBorders>
              <w:top w:val="nil"/>
              <w:left w:color="00000A" w:space="0" w:sz="4" w:val="single"/>
              <w:bottom w:color="00000A" w:space="0" w:sz="8" w:val="single"/>
              <w:right w:color="00000A" w:space="0" w:sz="4" w:val="single"/>
            </w:tcBorders>
            <w:shd w:fill="FFCC99" w:val="clear"/>
            <w:tcMar>
              <w:left w:type="dxa" w:w="65"/>
            </w:tcMar>
            <w:vAlign w:val="bottom"/>
          </w:tcPr>
          <w:p>
            <w:pPr>
              <w:pStyle w:val="style0"/>
              <w:jc w:val="center"/>
              <w:rPr>
                <w:rFonts w:ascii="Arial" w:cs="Arial" w:hAnsi="Arial"/>
                <w:b/>
                <w:sz w:val="18"/>
                <w:szCs w:val="18"/>
              </w:rPr>
            </w:pPr>
            <w:r>
              <w:rPr>
                <w:rFonts w:ascii="Arial" w:cs="Arial" w:hAnsi="Arial"/>
                <w:b/>
                <w:sz w:val="18"/>
                <w:szCs w:val="18"/>
              </w:rPr>
              <w:t>(scientific and technical only)</w:t>
            </w:r>
          </w:p>
        </w:tc>
        <w:tc>
          <w:tcPr>
            <w:tcW w:type="dxa" w:w="2256"/>
            <w:tcBorders>
              <w:top w:val="nil"/>
              <w:left w:val="nil"/>
              <w:bottom w:color="00000A" w:space="0" w:sz="8" w:val="single"/>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(1)</w:t>
            </w:r>
          </w:p>
        </w:tc>
        <w:tc>
          <w:tcPr>
            <w:tcW w:type="dxa" w:w="1159"/>
            <w:tcBorders>
              <w:top w:val="nil"/>
              <w:left w:val="nil"/>
              <w:bottom w:color="00000A" w:space="0" w:sz="8" w:val="single"/>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(2)</w:t>
            </w:r>
          </w:p>
        </w:tc>
        <w:tc>
          <w:tcPr>
            <w:tcW w:type="dxa" w:w="1653"/>
            <w:tcBorders>
              <w:top w:val="nil"/>
              <w:left w:val="nil"/>
              <w:bottom w:color="00000A" w:space="0" w:sz="8" w:val="single"/>
              <w:right w:color="00000A" w:space="0" w:sz="8"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 xml:space="preserve"> </w:t>
            </w:r>
            <w:r>
              <w:rPr>
                <w:rFonts w:ascii="Arial" w:cs="Arial" w:hAnsi="Arial"/>
                <w:b/>
                <w:bCs/>
                <w:sz w:val="18"/>
                <w:szCs w:val="18"/>
              </w:rPr>
              <w:t>(1) x (2)</w:t>
            </w:r>
          </w:p>
        </w:tc>
      </w:tr>
      <w:tr>
        <w:trPr>
          <w:trHeight w:hRule="atLeast" w:val="250"/>
          <w:cantSplit w:val="false"/>
        </w:trPr>
        <w:tc>
          <w:tcPr>
            <w:tcW w:type="dxa" w:w="4499"/>
            <w:tcBorders>
              <w:top w:color="00000A" w:space="0" w:sz="8"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Head engineer</w:t>
            </w:r>
          </w:p>
        </w:tc>
        <w:tc>
          <w:tcPr>
            <w:tcW w:type="dxa" w:w="2256"/>
            <w:tcBorders>
              <w:top w:color="00000A" w:space="0" w:sz="8"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4.500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40,89</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184.005</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Electronic engineer</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3.600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40,89</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147.204</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Computer engineer</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2.340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40,89</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95.682,6</w:t>
            </w:r>
          </w:p>
        </w:tc>
      </w:tr>
      <w:tr>
        <w:trPr>
          <w:trHeight w:hRule="atLeast" w:val="25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Technician</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4.600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21,51</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98.946</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Senior Scientist</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2.400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35,47</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85.128</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Scientist</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2.400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35,47</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85.128</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 </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 </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 </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r>
          </w:p>
        </w:tc>
      </w:tr>
      <w:tr>
        <w:trPr>
          <w:trHeight w:hRule="atLeast" w:val="250"/>
          <w:cantSplit w:val="false"/>
        </w:trPr>
        <w:tc>
          <w:tcPr>
            <w:tcW w:type="dxa" w:w="7915"/>
            <w:gridSpan w:val="3"/>
            <w:tcBorders>
              <w:top w:color="00000A" w:space="0" w:sz="4" w:val="single"/>
              <w:left w:color="00000A" w:space="0" w:sz="4" w:val="single"/>
              <w:bottom w:color="00000A" w:space="0" w:sz="8" w:val="single"/>
              <w:right w:color="00000A" w:space="0" w:sz="4" w:val="single"/>
            </w:tcBorders>
            <w:shd w:fill="FFCC99" w:val="clear"/>
            <w:tcMar>
              <w:left w:type="dxa" w:w="65"/>
            </w:tcMar>
            <w:vAlign w:val="bottom"/>
          </w:tcPr>
          <w:p>
            <w:pPr>
              <w:pStyle w:val="style0"/>
              <w:jc w:val="right"/>
              <w:rPr>
                <w:rFonts w:ascii="Arial" w:cs="Arial" w:hAnsi="Arial"/>
                <w:b/>
                <w:bCs/>
                <w:sz w:val="18"/>
                <w:szCs w:val="18"/>
              </w:rPr>
            </w:pPr>
            <w:r>
              <w:rPr>
                <w:rFonts w:ascii="Arial" w:cs="Arial" w:hAnsi="Arial"/>
                <w:b/>
                <w:bCs/>
                <w:sz w:val="18"/>
                <w:szCs w:val="18"/>
              </w:rPr>
              <w:t>Total B</w:t>
            </w:r>
          </w:p>
        </w:tc>
        <w:tc>
          <w:tcPr>
            <w:tcW w:type="dxa" w:w="1652"/>
            <w:tcBorders>
              <w:top w:val="nil"/>
              <w:left w:val="nil"/>
              <w:bottom w:color="00000A" w:space="0" w:sz="8" w:val="single"/>
              <w:right w:color="00000A" w:space="0" w:sz="8" w:val="single"/>
            </w:tcBorders>
            <w:shd w:fill="CCFFFF" w:val="clear"/>
            <w:vAlign w:val="bottom"/>
          </w:tcPr>
          <w:p>
            <w:pPr>
              <w:pStyle w:val="style0"/>
              <w:jc w:val="right"/>
              <w:rPr>
                <w:rFonts w:ascii="Arial" w:cs="Arial" w:hAnsi="Arial"/>
                <w:b/>
                <w:bCs/>
                <w:sz w:val="18"/>
                <w:szCs w:val="18"/>
              </w:rPr>
            </w:pPr>
            <w:r>
              <w:rPr>
                <w:rFonts w:ascii="Arial" w:cs="Arial" w:hAnsi="Arial"/>
                <w:b/>
                <w:bCs/>
                <w:sz w:val="18"/>
                <w:szCs w:val="18"/>
              </w:rPr>
              <w:t>696.094</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lang w:val="en-US"/>
              </w:rPr>
            </w:pPr>
            <w:r>
              <w:rPr>
                <w:rFonts w:ascii="Arial" w:cs="Arial" w:hAnsi="Arial"/>
                <w:sz w:val="18"/>
                <w:szCs w:val="18"/>
                <w:lang w:val="en-US"/>
              </w:rPr>
              <w:t xml:space="preserve">C. </w:t>
            </w:r>
            <w:r>
              <w:rPr>
                <w:rFonts w:ascii="Times New Roman" w:hAnsi="Times New Roman"/>
                <w:color w:val="818181"/>
                <w:sz w:val="18"/>
                <w:szCs w:val="18"/>
              </w:rPr>
              <w:t xml:space="preserve"> </w:t>
            </w:r>
            <w:r>
              <w:rPr>
                <w:rFonts w:ascii="Arial" w:cs="Arial" w:hAnsi="Arial"/>
                <w:sz w:val="18"/>
                <w:szCs w:val="18"/>
              </w:rPr>
              <w:t>Indirect costs</w:t>
            </w:r>
            <w:r>
              <w:rPr>
                <w:rFonts w:ascii="Arial" w:cs="Arial" w:hAnsi="Arial"/>
                <w:sz w:val="18"/>
                <w:szCs w:val="18"/>
                <w:lang w:val="en-US"/>
              </w:rPr>
              <w:t xml:space="preserve"> = 7% x (A+B)</w:t>
            </w:r>
          </w:p>
        </w:tc>
        <w:tc>
          <w:tcPr>
            <w:tcW w:type="dxa" w:w="1652"/>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90.584,34</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lang w:val="en-US"/>
              </w:rPr>
            </w:pPr>
            <w:r>
              <w:rPr>
                <w:rFonts w:ascii="Arial" w:cs="Arial" w:hAnsi="Arial"/>
                <w:sz w:val="18"/>
                <w:szCs w:val="18"/>
                <w:lang w:val="en-US"/>
              </w:rPr>
              <w:t xml:space="preserve">D. </w:t>
            </w:r>
            <w:r>
              <w:rPr>
                <w:rFonts w:ascii="Times New Roman" w:hAnsi="Times New Roman"/>
                <w:color w:val="818181"/>
                <w:sz w:val="18"/>
                <w:szCs w:val="18"/>
              </w:rPr>
              <w:t xml:space="preserve"> </w:t>
            </w:r>
            <w:r>
              <w:rPr>
                <w:rFonts w:ascii="Arial" w:cs="Arial" w:hAnsi="Arial"/>
                <w:sz w:val="18"/>
                <w:szCs w:val="18"/>
              </w:rPr>
              <w:t>Total estimated access eligible costs</w:t>
            </w:r>
            <w:r>
              <w:rPr>
                <w:rFonts w:ascii="Arial" w:cs="Arial" w:hAnsi="Arial"/>
                <w:sz w:val="18"/>
                <w:szCs w:val="18"/>
                <w:lang w:val="en-US"/>
              </w:rPr>
              <w:t xml:space="preserve"> = A+B+C</w:t>
            </w:r>
          </w:p>
        </w:tc>
        <w:tc>
          <w:tcPr>
            <w:tcW w:type="dxa" w:w="1652"/>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1.384.646,34</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widowControl w:val="false"/>
              <w:ind w:firstLine="567" w:left="0" w:right="0"/>
              <w:rPr>
                <w:rFonts w:ascii="Arial" w:cs="Arial" w:hAnsi="Arial"/>
                <w:sz w:val="18"/>
                <w:szCs w:val="18"/>
                <w:lang w:val="en-US"/>
              </w:rPr>
            </w:pPr>
            <w:r>
              <w:rPr>
                <w:rFonts w:ascii="Arial" w:cs="Arial" w:hAnsi="Arial"/>
                <w:sz w:val="18"/>
                <w:szCs w:val="18"/>
                <w:lang w:val="en-US"/>
              </w:rPr>
              <w:t>E.  Total estimated quantity of access provided to all normal users of the infrastructure</w:t>
            </w:r>
          </w:p>
          <w:p>
            <w:pPr>
              <w:pStyle w:val="style0"/>
              <w:ind w:firstLine="540" w:left="0" w:right="0"/>
              <w:rPr>
                <w:rFonts w:ascii="Arial" w:cs="Arial" w:hAnsi="Arial"/>
                <w:sz w:val="18"/>
                <w:szCs w:val="18"/>
                <w:lang w:val="en-US"/>
              </w:rPr>
            </w:pPr>
            <w:r>
              <w:rPr>
                <w:rFonts w:ascii="Arial" w:cs="Arial" w:hAnsi="Arial"/>
                <w:sz w:val="18"/>
                <w:szCs w:val="18"/>
                <w:lang w:val="en-US"/>
              </w:rPr>
              <w:t>(i.e. both internal and external) within the project life-time (4 years)</w:t>
            </w:r>
          </w:p>
        </w:tc>
        <w:tc>
          <w:tcPr>
            <w:tcW w:type="dxa" w:w="1652"/>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900</w:t>
            </w:r>
          </w:p>
        </w:tc>
      </w:tr>
      <w:tr>
        <w:trPr>
          <w:trHeight w:hRule="atLeast" w:val="52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rPr>
            </w:pPr>
            <w:r>
              <w:rPr>
                <w:rFonts w:ascii="Arial" w:cs="Arial" w:hAnsi="Arial"/>
                <w:sz w:val="18"/>
                <w:szCs w:val="18"/>
                <w:lang w:val="en-US"/>
              </w:rPr>
              <w:t xml:space="preserve">F. </w:t>
            </w:r>
            <w:r>
              <w:rPr>
                <w:rFonts w:ascii="Times New Roman" w:hAnsi="Times New Roman"/>
                <w:color w:val="818181"/>
                <w:sz w:val="18"/>
                <w:szCs w:val="18"/>
              </w:rPr>
              <w:t xml:space="preserve"> </w:t>
            </w:r>
            <w:r>
              <w:rPr>
                <w:rFonts w:ascii="Arial" w:cs="Arial" w:hAnsi="Arial"/>
                <w:sz w:val="18"/>
                <w:szCs w:val="18"/>
              </w:rPr>
              <w:t>Fraction of the Unit cost to be charged to the project</w:t>
            </w:r>
          </w:p>
        </w:tc>
        <w:tc>
          <w:tcPr>
            <w:tcW w:type="dxa" w:w="1652"/>
            <w:tcBorders>
              <w:top w:color="00000A" w:space="0" w:sz="4" w:val="single"/>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100,0%</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lang w:val="en-US"/>
              </w:rPr>
            </w:pPr>
            <w:r>
              <w:rPr>
                <w:rFonts w:ascii="Arial" w:cs="Arial" w:hAnsi="Arial"/>
                <w:sz w:val="18"/>
                <w:szCs w:val="18"/>
                <w:lang w:val="en-US"/>
              </w:rPr>
              <w:t xml:space="preserve">G. </w:t>
            </w:r>
            <w:r>
              <w:rPr>
                <w:rFonts w:ascii="Times New Roman" w:hAnsi="Times New Roman"/>
                <w:color w:val="818181"/>
                <w:sz w:val="18"/>
                <w:szCs w:val="18"/>
              </w:rPr>
              <w:t xml:space="preserve"> </w:t>
            </w:r>
            <w:r>
              <w:rPr>
                <w:rFonts w:ascii="Arial" w:cs="Arial" w:hAnsi="Arial"/>
                <w:sz w:val="18"/>
                <w:szCs w:val="18"/>
              </w:rPr>
              <w:t>Estimated day cost</w:t>
            </w:r>
            <w:r>
              <w:rPr>
                <w:rFonts w:ascii="Arial" w:cs="Arial" w:hAnsi="Arial"/>
                <w:sz w:val="18"/>
                <w:szCs w:val="18"/>
                <w:lang w:val="en-US"/>
              </w:rPr>
              <w:t xml:space="preserve"> = F x (D/E)</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1.538</w:t>
            </w:r>
          </w:p>
        </w:tc>
      </w:tr>
    </w:tbl>
    <w:p>
      <w:pPr>
        <w:pStyle w:val="style0"/>
        <w:spacing w:after="0" w:before="280"/>
        <w:contextualSpacing w:val="false"/>
        <w:jc w:val="center"/>
        <w:rPr>
          <w:rFonts w:ascii="Arial" w:eastAsia="Times New Roman" w:hAnsi="Arial"/>
        </w:rPr>
      </w:pPr>
      <w:r>
        <w:rPr>
          <w:rFonts w:ascii="Arial" w:eastAsia="Times New Roman" w:hAnsi="Arial"/>
        </w:rPr>
        <w:t>Table 1. Cost for External Users Access</w:t>
      </w:r>
    </w:p>
    <w:p>
      <w:pPr>
        <w:pStyle w:val="style0"/>
        <w:spacing w:after="0" w:before="280"/>
        <w:contextualSpacing w:val="false"/>
        <w:jc w:val="both"/>
        <w:rPr>
          <w:rFonts w:ascii="Arial" w:hAnsi="Arial"/>
        </w:rPr>
      </w:pPr>
      <w:r>
        <w:rPr>
          <w:rFonts w:ascii="Arial" w:hAnsi="Arial"/>
        </w:rPr>
        <w:t>For commercial organisations (non-competitive access), contact the Office of the Director.</w:t>
      </w:r>
    </w:p>
    <w:p>
      <w:pPr>
        <w:pStyle w:val="style0"/>
        <w:spacing w:after="0" w:before="280"/>
        <w:contextualSpacing w:val="false"/>
        <w:jc w:val="both"/>
        <w:rPr>
          <w:rFonts w:ascii="Arial" w:hAnsi="Arial"/>
        </w:rPr>
      </w:pPr>
      <w:r>
        <w:rPr>
          <w:rFonts w:ascii="Arial" w:hAnsi="Arial"/>
        </w:rPr>
      </w:r>
    </w:p>
    <w:p>
      <w:pPr>
        <w:pStyle w:val="style1"/>
        <w:shd w:fill="92CDDC" w:val="clear"/>
        <w:rPr>
          <w:rFonts w:ascii="Arial" w:hAnsi="Arial"/>
          <w:color w:val="1F497D"/>
          <w:sz w:val="24"/>
          <w:szCs w:val="24"/>
        </w:rPr>
      </w:pPr>
      <w:bookmarkStart w:id="63" w:name="__RefHeading__3360_1951723236"/>
      <w:bookmarkStart w:id="64" w:name="_Toc267127981"/>
      <w:bookmarkEnd w:id="63"/>
      <w:bookmarkEnd w:id="64"/>
      <w:r>
        <w:rPr>
          <w:rFonts w:ascii="Arial" w:hAnsi="Arial"/>
          <w:color w:val="1F497D"/>
          <w:sz w:val="24"/>
          <w:szCs w:val="24"/>
        </w:rPr>
        <w:t>2. Calls</w:t>
      </w:r>
    </w:p>
    <w:p>
      <w:pPr>
        <w:pStyle w:val="style0"/>
        <w:spacing w:after="0" w:before="280"/>
        <w:contextualSpacing w:val="false"/>
        <w:jc w:val="both"/>
        <w:rPr>
          <w:rFonts w:ascii="Arial" w:hAnsi="Arial"/>
        </w:rPr>
      </w:pPr>
      <w:r>
        <w:rPr>
          <w:rFonts w:ascii="Arial" w:hAnsi="Arial"/>
        </w:rPr>
        <w:t xml:space="preserve"> </w:t>
      </w:r>
    </w:p>
    <w:p>
      <w:pPr>
        <w:pStyle w:val="style2"/>
        <w:spacing w:after="280" w:before="280"/>
        <w:contextualSpacing w:val="false"/>
        <w:rPr>
          <w:rFonts w:ascii="Arial" w:hAnsi="Arial"/>
          <w:bCs w:val="false"/>
          <w:sz w:val="24"/>
          <w:szCs w:val="24"/>
          <w:u w:val="single"/>
        </w:rPr>
      </w:pPr>
      <w:bookmarkStart w:id="65" w:name="__RefHeading__3362_1951723236"/>
      <w:bookmarkStart w:id="66" w:name="_Toc267127982"/>
      <w:bookmarkStart w:id="67" w:name="_Toc256262193"/>
      <w:bookmarkEnd w:id="65"/>
      <w:bookmarkEnd w:id="66"/>
      <w:bookmarkEnd w:id="67"/>
      <w:r>
        <w:rPr>
          <w:rFonts w:ascii="Arial" w:hAnsi="Arial"/>
          <w:bCs w:val="false"/>
          <w:sz w:val="24"/>
          <w:szCs w:val="24"/>
          <w:u w:val="single"/>
        </w:rPr>
        <w:t>Description</w:t>
      </w:r>
    </w:p>
    <w:p>
      <w:pPr>
        <w:pStyle w:val="style0"/>
        <w:spacing w:after="0" w:before="280"/>
        <w:contextualSpacing w:val="false"/>
        <w:jc w:val="both"/>
        <w:rPr>
          <w:rFonts w:ascii="Arial" w:hAnsi="Arial"/>
        </w:rPr>
      </w:pPr>
      <w:r>
        <w:rPr>
          <w:rFonts w:ascii="Arial" w:hAnsi="Arial"/>
        </w:rPr>
        <w:t>SOCIB’s Glider Facility has two annual calls.  Please note that 1</w:t>
      </w:r>
      <w:r>
        <w:rPr>
          <w:rFonts w:ascii="Arial" w:hAnsi="Arial"/>
          <w:vertAlign w:val="superscript"/>
        </w:rPr>
        <w:t>st</w:t>
      </w:r>
      <w:r>
        <w:rPr>
          <w:rFonts w:ascii="Arial" w:hAnsi="Arial"/>
        </w:rPr>
        <w:t xml:space="preserve"> calls are normally for projects starting in the first 6 months of the following year, and 2</w:t>
      </w:r>
      <w:r>
        <w:rPr>
          <w:rFonts w:ascii="Arial" w:hAnsi="Arial"/>
          <w:vertAlign w:val="superscript"/>
        </w:rPr>
        <w:t>nd</w:t>
      </w:r>
      <w:r>
        <w:rPr>
          <w:rFonts w:ascii="Arial" w:hAnsi="Arial"/>
        </w:rPr>
        <w:t xml:space="preserve"> calls are for projects commencing in the second 6 months of the following year. </w:t>
      </w:r>
    </w:p>
    <w:p>
      <w:pPr>
        <w:pStyle w:val="style0"/>
        <w:spacing w:after="0" w:before="280"/>
        <w:contextualSpacing w:val="false"/>
        <w:jc w:val="both"/>
        <w:rPr>
          <w:rFonts w:ascii="Arial" w:hAnsi="Arial"/>
        </w:rPr>
      </w:pPr>
      <w:r>
        <w:rPr>
          <w:rFonts w:ascii="Arial" w:hAnsi="Arial"/>
        </w:rPr>
        <w:t>Under certain circumstances alternative timings may be requested, but it is strongly recommended that the proposed user group discuss this directly with the SOCIB Glider facility for proposal preparation, before project submission.</w:t>
      </w:r>
    </w:p>
    <w:p>
      <w:pPr>
        <w:pStyle w:val="style0"/>
        <w:spacing w:after="0" w:before="280"/>
        <w:contextualSpacing w:val="false"/>
        <w:jc w:val="both"/>
        <w:rPr>
          <w:rFonts w:ascii="Arial" w:hAnsi="Arial"/>
          <w:b/>
        </w:rPr>
      </w:pPr>
      <w:r>
        <w:rPr>
          <w:rFonts w:ascii="Arial" w:hAnsi="Arial"/>
          <w:b/>
        </w:rPr>
        <w:t>The annual call programme is as follows.</w:t>
      </w:r>
    </w:p>
    <w:p>
      <w:pPr>
        <w:pStyle w:val="style0"/>
        <w:spacing w:after="0" w:before="280"/>
        <w:contextualSpacing w:val="false"/>
        <w:jc w:val="both"/>
        <w:rPr>
          <w:rFonts w:ascii="Arial" w:hAnsi="Arial"/>
          <w:b/>
        </w:rPr>
      </w:pPr>
      <w:r>
        <w:rPr>
          <w:rFonts w:ascii="Arial" w:hAnsi="Arial"/>
          <w:b/>
        </w:rPr>
      </w:r>
    </w:p>
    <w:tbl>
      <w:tblPr>
        <w:jc w:val="left"/>
        <w:tblInd w:type="dxa" w:w="122"/>
        <w:tblBorders>
          <w:top w:color="4BACC6" w:space="0" w:sz="6" w:val="thinThickLargeGap"/>
          <w:left w:color="4BACC6" w:space="0" w:sz="6" w:val="thinThickLargeGap"/>
          <w:bottom w:color="4BACC6" w:space="0" w:sz="6" w:val="thinThickLargeGap"/>
          <w:insideH w:color="4BACC6" w:space="0" w:sz="6" w:val="thinThickLargeGap"/>
          <w:right w:color="4BACC6" w:space="0" w:sz="6" w:val="thinThickLargeGap"/>
          <w:insideV w:color="4BACC6" w:space="0" w:sz="6" w:val="thinThickLargeGap"/>
        </w:tblBorders>
        <w:tblCellMar>
          <w:top w:type="dxa" w:w="0"/>
          <w:left w:type="dxa" w:w="70"/>
          <w:bottom w:type="dxa" w:w="0"/>
          <w:right w:type="dxa" w:w="70"/>
        </w:tblCellMar>
      </w:tblPr>
      <w:tblGrid>
        <w:gridCol w:w="1950"/>
        <w:gridCol w:w="3200"/>
        <w:gridCol w:w="3317"/>
      </w:tblGrid>
      <w:tr>
        <w:trPr>
          <w:trHeight w:hRule="atLeast" w:val="354"/>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1</w:t>
            </w:r>
            <w:r>
              <w:rPr>
                <w:rFonts w:ascii="Arial" w:hAnsi="Arial"/>
                <w:b/>
                <w:color w:val="FFFFFF"/>
                <w:vertAlign w:val="superscript"/>
              </w:rPr>
              <w:t>st</w:t>
            </w:r>
            <w:r>
              <w:rPr>
                <w:rFonts w:ascii="Arial" w:hAnsi="Arial"/>
                <w:b/>
                <w:color w:val="FFFFFF"/>
              </w:rPr>
              <w:t xml:space="preserve"> January</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1</w:t>
            </w:r>
            <w:r>
              <w:rPr>
                <w:rFonts w:ascii="Arial" w:hAnsi="Arial"/>
                <w:b/>
                <w:color w:val="1F497D"/>
                <w:vertAlign w:val="superscript"/>
              </w:rPr>
              <w:t>st</w:t>
            </w:r>
            <w:r>
              <w:rPr>
                <w:rFonts w:ascii="Arial" w:hAnsi="Arial"/>
                <w:b/>
                <w:color w:val="1F497D"/>
              </w:rPr>
              <w:t xml:space="preserve"> call open</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auto" w:val="clear"/>
            <w:tcMar>
              <w:left w:type="dxa" w:w="70"/>
            </w:tcMar>
            <w:vAlign w:val="center"/>
          </w:tcPr>
          <w:p>
            <w:pPr>
              <w:pStyle w:val="style0"/>
              <w:spacing w:after="0" w:before="280"/>
              <w:contextualSpacing w:val="false"/>
              <w:jc w:val="center"/>
              <w:rPr>
                <w:rFonts w:ascii="Arial" w:hAnsi="Arial"/>
              </w:rPr>
            </w:pPr>
            <w:r>
              <w:rPr>
                <w:rFonts w:ascii="Arial" w:hAnsi="Arial"/>
              </w:rPr>
            </w:r>
          </w:p>
        </w:tc>
      </w:tr>
      <w:tr>
        <w:trPr>
          <w:trHeight w:hRule="atLeast" w:val="332"/>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31</w:t>
            </w:r>
            <w:r>
              <w:rPr>
                <w:rFonts w:ascii="Arial" w:hAnsi="Arial"/>
                <w:b/>
                <w:color w:val="FFFFFF"/>
                <w:vertAlign w:val="superscript"/>
              </w:rPr>
              <w:t>st</w:t>
            </w:r>
            <w:r>
              <w:rPr>
                <w:rFonts w:ascii="Arial" w:hAnsi="Arial"/>
                <w:b/>
                <w:color w:val="FFFFFF"/>
              </w:rPr>
              <w:t xml:space="preserve"> March</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1</w:t>
            </w:r>
            <w:r>
              <w:rPr>
                <w:rFonts w:ascii="Arial" w:hAnsi="Arial"/>
                <w:b/>
                <w:color w:val="1F497D"/>
                <w:vertAlign w:val="superscript"/>
              </w:rPr>
              <w:t>st</w:t>
            </w:r>
            <w:r>
              <w:rPr>
                <w:rFonts w:ascii="Arial" w:hAnsi="Arial"/>
                <w:b/>
                <w:color w:val="1F497D"/>
              </w:rPr>
              <w:t xml:space="preserve"> call submission deadline</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auto" w:val="clear"/>
            <w:tcMar>
              <w:left w:type="dxa" w:w="70"/>
            </w:tcMar>
            <w:vAlign w:val="center"/>
          </w:tcPr>
          <w:p>
            <w:pPr>
              <w:pStyle w:val="style0"/>
              <w:spacing w:after="0" w:before="280"/>
              <w:contextualSpacing w:val="false"/>
              <w:jc w:val="center"/>
              <w:rPr>
                <w:rFonts w:ascii="Arial" w:hAnsi="Arial"/>
              </w:rPr>
            </w:pPr>
            <w:r>
              <w:rPr>
                <w:rFonts w:ascii="Arial" w:hAnsi="Arial"/>
              </w:rPr>
            </w:r>
          </w:p>
        </w:tc>
      </w:tr>
      <w:tr>
        <w:trPr>
          <w:trHeight w:hRule="atLeast" w:val="354"/>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15</w:t>
            </w:r>
            <w:r>
              <w:rPr>
                <w:rFonts w:ascii="Arial" w:hAnsi="Arial"/>
                <w:b/>
                <w:color w:val="FFFFFF"/>
                <w:vertAlign w:val="superscript"/>
              </w:rPr>
              <w:t>th</w:t>
            </w:r>
            <w:r>
              <w:rPr>
                <w:rFonts w:ascii="Arial" w:hAnsi="Arial"/>
                <w:b/>
                <w:color w:val="FFFFFF"/>
              </w:rPr>
              <w:t xml:space="preserve"> July</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Announce successful projects</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92CDDC" w:val="clear"/>
            <w:tcMar>
              <w:left w:type="dxa" w:w="70"/>
            </w:tcMar>
            <w:vAlign w:val="center"/>
          </w:tcPr>
          <w:p>
            <w:pPr>
              <w:pStyle w:val="style0"/>
              <w:spacing w:after="0" w:before="280"/>
              <w:contextualSpacing w:val="false"/>
              <w:jc w:val="center"/>
              <w:rPr>
                <w:rFonts w:ascii="Arial" w:hAnsi="Arial"/>
                <w:b/>
                <w:color w:val="808080"/>
              </w:rPr>
            </w:pPr>
            <w:r>
              <w:rPr>
                <w:rFonts w:ascii="Arial" w:hAnsi="Arial"/>
                <w:b/>
                <w:color w:val="808080"/>
              </w:rPr>
              <w:t>2</w:t>
            </w:r>
            <w:r>
              <w:rPr>
                <w:rFonts w:ascii="Arial" w:hAnsi="Arial"/>
                <w:b/>
                <w:color w:val="808080"/>
                <w:vertAlign w:val="superscript"/>
              </w:rPr>
              <w:t>nd</w:t>
            </w:r>
            <w:r>
              <w:rPr>
                <w:rFonts w:ascii="Arial" w:hAnsi="Arial"/>
                <w:b/>
                <w:color w:val="808080"/>
              </w:rPr>
              <w:t xml:space="preserve"> call open</w:t>
            </w:r>
          </w:p>
        </w:tc>
      </w:tr>
      <w:tr>
        <w:trPr>
          <w:trHeight w:hRule="atLeast" w:val="332"/>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30</w:t>
            </w:r>
            <w:r>
              <w:rPr>
                <w:rFonts w:ascii="Arial" w:hAnsi="Arial"/>
                <w:b/>
                <w:color w:val="FFFFFF"/>
                <w:vertAlign w:val="superscript"/>
              </w:rPr>
              <w:t>th</w:t>
            </w:r>
            <w:r>
              <w:rPr>
                <w:rFonts w:ascii="Arial" w:hAnsi="Arial"/>
                <w:b/>
                <w:color w:val="FFFFFF"/>
              </w:rPr>
              <w:t xml:space="preserve"> September</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auto" w:val="clear"/>
            <w:tcMar>
              <w:left w:type="dxa" w:w="70"/>
            </w:tcMar>
            <w:vAlign w:val="center"/>
          </w:tcPr>
          <w:p>
            <w:pPr>
              <w:pStyle w:val="style0"/>
              <w:spacing w:after="0" w:before="280"/>
              <w:contextualSpacing w:val="false"/>
              <w:jc w:val="center"/>
              <w:rPr>
                <w:rFonts w:ascii="Arial" w:hAnsi="Arial"/>
              </w:rPr>
            </w:pPr>
            <w:r>
              <w:rPr>
                <w:rFonts w:ascii="Arial" w:hAnsi="Arial"/>
              </w:rPr>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92CDDC" w:val="clear"/>
            <w:tcMar>
              <w:left w:type="dxa" w:w="70"/>
            </w:tcMar>
            <w:vAlign w:val="center"/>
          </w:tcPr>
          <w:p>
            <w:pPr>
              <w:pStyle w:val="style0"/>
              <w:spacing w:after="0" w:before="280"/>
              <w:contextualSpacing w:val="false"/>
              <w:jc w:val="center"/>
              <w:rPr>
                <w:rFonts w:ascii="Arial" w:hAnsi="Arial"/>
                <w:b/>
                <w:color w:val="808080"/>
              </w:rPr>
            </w:pPr>
            <w:r>
              <w:rPr>
                <w:rFonts w:ascii="Arial" w:hAnsi="Arial"/>
                <w:b/>
                <w:color w:val="808080"/>
              </w:rPr>
              <w:t>2</w:t>
            </w:r>
            <w:r>
              <w:rPr>
                <w:rFonts w:ascii="Arial" w:hAnsi="Arial"/>
                <w:b/>
                <w:color w:val="808080"/>
                <w:vertAlign w:val="superscript"/>
              </w:rPr>
              <w:t>nd</w:t>
            </w:r>
            <w:r>
              <w:rPr>
                <w:rFonts w:ascii="Arial" w:hAnsi="Arial"/>
                <w:b/>
                <w:color w:val="808080"/>
              </w:rPr>
              <w:t xml:space="preserve"> call submission deadline</w:t>
            </w:r>
          </w:p>
        </w:tc>
      </w:tr>
      <w:tr>
        <w:trPr>
          <w:trHeight w:hRule="atLeast" w:val="309"/>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1</w:t>
            </w:r>
            <w:r>
              <w:rPr>
                <w:rFonts w:ascii="Arial" w:hAnsi="Arial"/>
                <w:b/>
                <w:color w:val="FFFFFF"/>
                <w:vertAlign w:val="superscript"/>
              </w:rPr>
              <w:t>st</w:t>
            </w:r>
            <w:r>
              <w:rPr>
                <w:rFonts w:ascii="Arial" w:hAnsi="Arial"/>
                <w:b/>
                <w:color w:val="FFFFFF"/>
              </w:rPr>
              <w:t xml:space="preserve"> January</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1</w:t>
            </w:r>
            <w:r>
              <w:rPr>
                <w:rFonts w:ascii="Arial" w:hAnsi="Arial"/>
                <w:b/>
                <w:color w:val="1F497D"/>
                <w:vertAlign w:val="superscript"/>
              </w:rPr>
              <w:t>st</w:t>
            </w:r>
            <w:r>
              <w:rPr>
                <w:rFonts w:ascii="Arial" w:hAnsi="Arial"/>
                <w:b/>
                <w:color w:val="1F497D"/>
              </w:rPr>
              <w:t xml:space="preserve"> call open</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92CDDC" w:val="clear"/>
            <w:tcMar>
              <w:left w:type="dxa" w:w="70"/>
            </w:tcMar>
            <w:vAlign w:val="center"/>
          </w:tcPr>
          <w:p>
            <w:pPr>
              <w:pStyle w:val="style0"/>
              <w:spacing w:after="0" w:before="280"/>
              <w:contextualSpacing w:val="false"/>
              <w:jc w:val="center"/>
              <w:rPr>
                <w:rFonts w:ascii="Arial" w:hAnsi="Arial"/>
                <w:b/>
                <w:color w:val="808080"/>
              </w:rPr>
            </w:pPr>
            <w:r>
              <w:rPr>
                <w:rFonts w:ascii="Arial" w:hAnsi="Arial"/>
                <w:b/>
                <w:color w:val="808080"/>
              </w:rPr>
              <w:t>Announce successful projects</w:t>
            </w:r>
          </w:p>
        </w:tc>
      </w:tr>
    </w:tbl>
    <w:p>
      <w:pPr>
        <w:pStyle w:val="style0"/>
        <w:jc w:val="both"/>
        <w:rPr>
          <w:rFonts w:ascii="Arial" w:hAnsi="Arial"/>
          <w:b/>
          <w:sz w:val="20"/>
        </w:rPr>
      </w:pPr>
      <w:r>
        <w:rPr>
          <w:rFonts w:ascii="Arial" w:hAnsi="Arial"/>
          <w:b/>
          <w:sz w:val="20"/>
        </w:rPr>
      </w:r>
    </w:p>
    <w:p>
      <w:pPr>
        <w:pStyle w:val="style0"/>
        <w:jc w:val="both"/>
        <w:rPr>
          <w:rFonts w:ascii="Arial" w:hAnsi="Arial"/>
          <w:b/>
          <w:color w:val="76923C"/>
          <w:sz w:val="20"/>
        </w:rPr>
      </w:pPr>
      <w:r>
        <w:rPr>
          <w:rFonts w:ascii="Arial" w:hAnsi="Arial"/>
          <w:b/>
          <w:sz w:val="20"/>
        </w:rPr>
        <w:tab/>
        <w:tab/>
        <w:t xml:space="preserve">  </w:t>
      </w:r>
      <w:r>
        <w:rPr>
          <w:rFonts w:ascii="Arial" w:hAnsi="Arial"/>
          <w:b/>
          <w:color w:val="76923C"/>
          <w:sz w:val="20"/>
        </w:rPr>
        <w:tab/>
      </w:r>
    </w:p>
    <w:p>
      <w:pPr>
        <w:pStyle w:val="style0"/>
        <w:jc w:val="both"/>
        <w:rPr>
          <w:rFonts w:ascii="Arial" w:hAnsi="Arial"/>
        </w:rPr>
      </w:pPr>
      <w:r>
        <w:rPr>
          <w:rFonts w:ascii="Arial" w:hAnsi="Arial"/>
        </w:rPr>
        <w:t xml:space="preserve">Proposals have to be drawn up in line with the proposal template (Annex 1) and sent by email by: 30th of September 2014 23:59 HOURS (CET), at the following email address: </w:t>
      </w:r>
      <w:hyperlink r:id="rId10">
        <w:r>
          <w:rPr>
            <w:rStyle w:val="style19"/>
            <w:rFonts w:ascii="Arial" w:hAnsi="Arial"/>
          </w:rPr>
          <w:t>GliderAccess_2_2014@socib.es</w:t>
        </w:r>
      </w:hyperlink>
      <w:r>
        <w:rPr>
          <w:rFonts w:ascii="Arial" w:hAnsi="Arial"/>
        </w:rPr>
        <w:t>. The email address for proposal submission will no longer be accessible after this date.</w:t>
      </w:r>
    </w:p>
    <w:p>
      <w:pPr>
        <w:pStyle w:val="style0"/>
        <w:rPr>
          <w:rFonts w:ascii="Arial" w:hAnsi="Arial"/>
        </w:rPr>
      </w:pPr>
      <w:r>
        <w:rPr>
          <w:rFonts w:ascii="Arial" w:hAnsi="Arial"/>
        </w:rPr>
      </w:r>
    </w:p>
    <w:p>
      <w:pPr>
        <w:pStyle w:val="style0"/>
        <w:rPr>
          <w:rFonts w:ascii="Arial" w:eastAsia="Times New Roman" w:hAnsi="Arial"/>
          <w:b/>
          <w:color w:val="1F497D"/>
        </w:rPr>
      </w:pPr>
      <w:r>
        <w:rPr>
          <w:rFonts w:ascii="Arial" w:eastAsia="Times New Roman" w:hAnsi="Arial"/>
          <w:b/>
          <w:color w:val="1F497D"/>
        </w:rPr>
      </w:r>
    </w:p>
    <w:p>
      <w:pPr>
        <w:pStyle w:val="style0"/>
        <w:keepNext/>
        <w:pageBreakBefore/>
        <w:shd w:fill="B6DDE8" w:val="clear"/>
        <w:spacing w:after="0" w:before="280"/>
        <w:contextualSpacing w:val="false"/>
        <w:rPr>
          <w:rFonts w:ascii="Arial" w:eastAsia="Times New Roman" w:hAnsi="Arial"/>
          <w:b/>
          <w:color w:val="1F497D"/>
        </w:rPr>
      </w:pPr>
      <w:bookmarkStart w:id="68" w:name="__RefHeading__3364_1951723236"/>
      <w:bookmarkEnd w:id="68"/>
      <w:r>
        <w:rPr>
          <w:rFonts w:ascii="Arial" w:eastAsia="Times New Roman" w:hAnsi="Arial"/>
          <w:b/>
          <w:color w:val="1F497D"/>
        </w:rPr>
        <w:t>4. Project Selection</w:t>
      </w:r>
    </w:p>
    <w:p>
      <w:pPr>
        <w:pStyle w:val="style2"/>
        <w:spacing w:after="280" w:before="280"/>
        <w:contextualSpacing w:val="false"/>
        <w:rPr>
          <w:rFonts w:ascii="Arial" w:hAnsi="Arial"/>
          <w:bCs w:val="false"/>
          <w:sz w:val="24"/>
          <w:szCs w:val="24"/>
          <w:u w:val="single"/>
        </w:rPr>
      </w:pPr>
      <w:bookmarkStart w:id="69" w:name="__RefHeading__3366_1951723236"/>
      <w:bookmarkStart w:id="70" w:name="_Toc267127983"/>
      <w:bookmarkStart w:id="71" w:name="_Toc256262195"/>
      <w:bookmarkEnd w:id="69"/>
      <w:bookmarkEnd w:id="70"/>
      <w:bookmarkEnd w:id="71"/>
      <w:r>
        <w:rPr>
          <w:rFonts w:ascii="Arial" w:hAnsi="Arial"/>
          <w:bCs w:val="false"/>
          <w:sz w:val="24"/>
          <w:szCs w:val="24"/>
          <w:u w:val="single"/>
        </w:rPr>
        <w:t>4.1 Selection Criteria</w:t>
      </w:r>
    </w:p>
    <w:p>
      <w:pPr>
        <w:pStyle w:val="style0"/>
        <w:spacing w:after="0" w:before="280"/>
        <w:contextualSpacing w:val="false"/>
        <w:jc w:val="both"/>
        <w:rPr>
          <w:rFonts w:ascii="Arial" w:hAnsi="Arial"/>
        </w:rPr>
      </w:pPr>
      <w:r>
        <w:rPr>
          <w:rFonts w:ascii="Arial" w:hAnsi="Arial"/>
        </w:rPr>
        <w:t>Submitted proposals will be subjected to a two-step selection process by the Access Committee involving:</w:t>
      </w:r>
    </w:p>
    <w:p>
      <w:pPr>
        <w:pStyle w:val="style0"/>
        <w:spacing w:after="0" w:before="280"/>
        <w:ind w:hanging="0" w:left="360" w:right="0"/>
        <w:contextualSpacing w:val="false"/>
        <w:jc w:val="both"/>
        <w:rPr>
          <w:rFonts w:ascii="Arial" w:hAnsi="Arial"/>
          <w:b/>
          <w:bCs/>
        </w:rPr>
      </w:pPr>
      <w:r>
        <w:rPr>
          <w:rFonts w:ascii="Arial" w:hAnsi="Arial"/>
          <w:b/>
        </w:rPr>
        <w:t>I.</w:t>
      </w:r>
      <w:r>
        <w:rPr>
          <w:rFonts w:ascii="Arial" w:hAnsi="Arial"/>
        </w:rPr>
        <w:t xml:space="preserve"> </w:t>
      </w:r>
      <w:r>
        <w:rPr>
          <w:rFonts w:ascii="Arial" w:hAnsi="Arial"/>
          <w:b/>
          <w:bCs/>
        </w:rPr>
        <w:t>Scientific excellence, technology development and innovation, and impacts on responding to key societal challenges.</w:t>
      </w:r>
    </w:p>
    <w:p>
      <w:pPr>
        <w:pStyle w:val="style0"/>
        <w:spacing w:after="0" w:before="280"/>
        <w:ind w:hanging="0" w:left="360" w:right="0"/>
        <w:contextualSpacing w:val="false"/>
        <w:jc w:val="both"/>
        <w:rPr>
          <w:rFonts w:ascii="Arial" w:hAnsi="Arial"/>
        </w:rPr>
      </w:pPr>
      <w:r>
        <w:rPr>
          <w:rFonts w:ascii="Arial" w:hAnsi="Arial"/>
          <w:b/>
        </w:rPr>
        <w:t>II.</w:t>
      </w:r>
      <w:r>
        <w:rPr>
          <w:rFonts w:ascii="Arial" w:hAnsi="Arial"/>
        </w:rPr>
        <w:t xml:space="preserve"> </w:t>
      </w:r>
      <w:r>
        <w:rPr>
          <w:rFonts w:ascii="Arial" w:hAnsi="Arial"/>
          <w:b/>
        </w:rPr>
        <w:t>Feasibility</w:t>
      </w:r>
      <w:r>
        <w:rPr>
          <w:rFonts w:ascii="Arial" w:hAnsi="Arial"/>
        </w:rPr>
        <w:t xml:space="preserve"> of the proposal. </w:t>
      </w:r>
    </w:p>
    <w:p>
      <w:pPr>
        <w:pStyle w:val="style0"/>
        <w:spacing w:after="0" w:before="280"/>
        <w:contextualSpacing w:val="false"/>
        <w:jc w:val="both"/>
        <w:rPr>
          <w:rFonts w:ascii="Arial" w:hAnsi="Arial"/>
        </w:rPr>
      </w:pPr>
      <w:r>
        <w:rPr>
          <w:rFonts w:ascii="Arial" w:hAnsi="Arial"/>
        </w:rPr>
        <w:t>More specifically, the following criteria will be followed:</w:t>
      </w:r>
    </w:p>
    <w:p>
      <w:pPr>
        <w:pStyle w:val="style0"/>
        <w:numPr>
          <w:ilvl w:val="0"/>
          <w:numId w:val="1"/>
        </w:numPr>
        <w:spacing w:after="0" w:before="280"/>
        <w:contextualSpacing w:val="false"/>
        <w:jc w:val="both"/>
        <w:rPr>
          <w:rFonts w:ascii="Arial" w:hAnsi="Arial"/>
        </w:rPr>
      </w:pPr>
      <w:r>
        <w:rPr>
          <w:rFonts w:ascii="Arial" w:hAnsi="Arial"/>
        </w:rPr>
        <w:t>Fundamental scientific or technical value</w:t>
      </w:r>
    </w:p>
    <w:p>
      <w:pPr>
        <w:pStyle w:val="style0"/>
        <w:numPr>
          <w:ilvl w:val="0"/>
          <w:numId w:val="1"/>
        </w:numPr>
        <w:spacing w:after="0" w:before="280"/>
        <w:contextualSpacing w:val="false"/>
        <w:jc w:val="both"/>
        <w:rPr>
          <w:rFonts w:ascii="Arial" w:hAnsi="Arial"/>
        </w:rPr>
      </w:pPr>
      <w:r>
        <w:rPr>
          <w:rFonts w:ascii="Arial" w:hAnsi="Arial"/>
        </w:rPr>
        <w:t>Quality of the work program</w:t>
      </w:r>
    </w:p>
    <w:p>
      <w:pPr>
        <w:pStyle w:val="style0"/>
        <w:numPr>
          <w:ilvl w:val="0"/>
          <w:numId w:val="1"/>
        </w:numPr>
        <w:spacing w:after="0" w:before="280"/>
        <w:contextualSpacing w:val="false"/>
        <w:jc w:val="both"/>
        <w:rPr>
          <w:rFonts w:ascii="Arial" w:hAnsi="Arial"/>
        </w:rPr>
      </w:pPr>
      <w:r>
        <w:rPr>
          <w:rFonts w:ascii="Arial" w:hAnsi="Arial"/>
        </w:rPr>
        <w:t>Evaluation of benefit and risk</w:t>
      </w:r>
    </w:p>
    <w:p>
      <w:pPr>
        <w:pStyle w:val="style0"/>
        <w:numPr>
          <w:ilvl w:val="0"/>
          <w:numId w:val="1"/>
        </w:numPr>
        <w:spacing w:after="0" w:before="280"/>
        <w:contextualSpacing w:val="false"/>
        <w:jc w:val="both"/>
        <w:rPr>
          <w:rFonts w:ascii="Arial" w:hAnsi="Arial"/>
        </w:rPr>
      </w:pPr>
      <w:r>
        <w:rPr>
          <w:rFonts w:ascii="Arial" w:hAnsi="Arial"/>
        </w:rPr>
        <w:t xml:space="preserve">Relevance to understanding the characteristics and processes of variability in the Mediterranean Sea at different spatial and temporal scales. </w:t>
      </w:r>
    </w:p>
    <w:p>
      <w:pPr>
        <w:pStyle w:val="style0"/>
        <w:spacing w:after="0" w:before="280"/>
        <w:contextualSpacing w:val="false"/>
        <w:jc w:val="both"/>
        <w:rPr>
          <w:rFonts w:ascii="Arial" w:hAnsi="Arial"/>
        </w:rPr>
      </w:pPr>
      <w:r>
        <w:rPr>
          <w:rFonts w:ascii="Arial" w:hAnsi="Arial"/>
        </w:rPr>
        <w:t xml:space="preserve">Further details will be provided in each one of the public calls. </w:t>
      </w:r>
    </w:p>
    <w:p>
      <w:pPr>
        <w:pStyle w:val="style0"/>
        <w:spacing w:after="0" w:before="280"/>
        <w:contextualSpacing w:val="false"/>
        <w:jc w:val="both"/>
        <w:rPr>
          <w:rFonts w:ascii="Arial" w:hAnsi="Arial"/>
        </w:rPr>
      </w:pPr>
      <w:r>
        <w:rPr>
          <w:rFonts w:ascii="Arial" w:hAnsi="Arial"/>
        </w:rPr>
        <w:t xml:space="preserve">Consideration is given to all proposals; clearly those that have been subject to scientific peer review or which can easily demonstrate a novel hypothesis of societal, technological or scientific importance will be given priority. </w:t>
      </w:r>
    </w:p>
    <w:p>
      <w:pPr>
        <w:pStyle w:val="style2"/>
        <w:spacing w:after="280" w:before="280"/>
        <w:contextualSpacing w:val="false"/>
        <w:rPr>
          <w:rFonts w:ascii="Arial" w:hAnsi="Arial"/>
          <w:bCs w:val="false"/>
          <w:sz w:val="24"/>
          <w:szCs w:val="24"/>
          <w:u w:val="single"/>
        </w:rPr>
      </w:pPr>
      <w:bookmarkStart w:id="72" w:name="__RefHeading__3368_1951723236"/>
      <w:bookmarkStart w:id="73" w:name="_Toc267127984"/>
      <w:bookmarkStart w:id="74" w:name="_Toc256262196"/>
      <w:bookmarkEnd w:id="72"/>
      <w:bookmarkEnd w:id="73"/>
      <w:bookmarkEnd w:id="74"/>
      <w:r>
        <w:rPr>
          <w:rFonts w:ascii="Arial" w:hAnsi="Arial"/>
          <w:bCs w:val="false"/>
          <w:sz w:val="24"/>
          <w:szCs w:val="24"/>
          <w:u w:val="single"/>
        </w:rPr>
        <w:t>4.2 Access Committee</w:t>
      </w:r>
    </w:p>
    <w:p>
      <w:pPr>
        <w:pStyle w:val="style0"/>
        <w:spacing w:after="0" w:before="280"/>
        <w:contextualSpacing w:val="false"/>
        <w:jc w:val="both"/>
        <w:rPr>
          <w:rFonts w:ascii="Arial" w:hAnsi="Arial"/>
        </w:rPr>
      </w:pPr>
      <w:r>
        <w:rPr>
          <w:rFonts w:ascii="Arial" w:hAnsi="Arial"/>
        </w:rPr>
        <w:t xml:space="preserve">The Access Committee comprises internationally well-recognised experts in new ocean observing platforms and glider operations. They will meet at least twice a year in the corresponding periods of proposal evaluation. </w:t>
      </w:r>
    </w:p>
    <w:p>
      <w:pPr>
        <w:pStyle w:val="style0"/>
        <w:numPr>
          <w:ilvl w:val="0"/>
          <w:numId w:val="2"/>
        </w:numPr>
        <w:spacing w:after="0" w:before="280"/>
        <w:contextualSpacing w:val="false"/>
        <w:jc w:val="both"/>
        <w:rPr>
          <w:rFonts w:ascii="Arial" w:hAnsi="Arial"/>
        </w:rPr>
      </w:pPr>
      <w:r>
        <w:rPr>
          <w:rFonts w:ascii="Arial" w:hAnsi="Arial"/>
        </w:rPr>
        <w:t>Stefania Sparnocchia, CNR-IT</w:t>
      </w:r>
    </w:p>
    <w:p>
      <w:pPr>
        <w:pStyle w:val="style0"/>
        <w:numPr>
          <w:ilvl w:val="0"/>
          <w:numId w:val="2"/>
        </w:numPr>
        <w:spacing w:after="0" w:before="280"/>
        <w:contextualSpacing w:val="false"/>
        <w:jc w:val="both"/>
        <w:rPr>
          <w:rFonts w:ascii="Arial" w:hAnsi="Arial"/>
        </w:rPr>
      </w:pPr>
      <w:r>
        <w:rPr>
          <w:rFonts w:ascii="Arial" w:hAnsi="Arial"/>
        </w:rPr>
        <w:t>Lukas Merckelback, HZG-GE</w:t>
      </w:r>
    </w:p>
    <w:p>
      <w:pPr>
        <w:pStyle w:val="style0"/>
        <w:numPr>
          <w:ilvl w:val="0"/>
          <w:numId w:val="2"/>
        </w:numPr>
        <w:spacing w:after="0" w:before="280"/>
        <w:contextualSpacing w:val="false"/>
        <w:jc w:val="both"/>
        <w:rPr>
          <w:rFonts w:ascii="Arial" w:hAnsi="Arial"/>
        </w:rPr>
      </w:pPr>
      <w:r>
        <w:rPr>
          <w:rFonts w:ascii="Arial" w:hAnsi="Arial"/>
        </w:rPr>
        <w:t>Pierre Testor, CNRS/INSU-FR</w:t>
      </w:r>
    </w:p>
    <w:p>
      <w:pPr>
        <w:pStyle w:val="style0"/>
        <w:numPr>
          <w:ilvl w:val="0"/>
          <w:numId w:val="2"/>
        </w:numPr>
        <w:spacing w:after="0" w:before="280"/>
        <w:contextualSpacing w:val="false"/>
        <w:jc w:val="both"/>
        <w:rPr>
          <w:rFonts w:ascii="Arial" w:hAnsi="Arial"/>
        </w:rPr>
      </w:pPr>
      <w:r>
        <w:rPr>
          <w:rFonts w:ascii="Arial" w:hAnsi="Arial"/>
        </w:rPr>
        <w:t xml:space="preserve">Carlos Barrera, PLOCAN-SP </w:t>
      </w:r>
    </w:p>
    <w:p>
      <w:pPr>
        <w:pStyle w:val="style0"/>
        <w:numPr>
          <w:ilvl w:val="0"/>
          <w:numId w:val="2"/>
        </w:numPr>
        <w:spacing w:after="0" w:before="280"/>
        <w:contextualSpacing w:val="false"/>
        <w:jc w:val="both"/>
        <w:rPr>
          <w:rFonts w:ascii="Arial" w:hAnsi="Arial"/>
        </w:rPr>
      </w:pPr>
      <w:r>
        <w:rPr>
          <w:rFonts w:ascii="Arial" w:hAnsi="Arial"/>
        </w:rPr>
        <w:t>Marc Torner, SOCIB-SP</w:t>
      </w:r>
    </w:p>
    <w:p>
      <w:pPr>
        <w:pStyle w:val="style2"/>
        <w:spacing w:after="280" w:before="280"/>
        <w:contextualSpacing w:val="false"/>
        <w:rPr>
          <w:rFonts w:ascii="Arial" w:hAnsi="Arial"/>
          <w:bCs w:val="false"/>
          <w:sz w:val="24"/>
          <w:szCs w:val="24"/>
          <w:u w:val="single"/>
        </w:rPr>
      </w:pPr>
      <w:bookmarkStart w:id="75" w:name="__RefHeading__3370_1951723236"/>
      <w:bookmarkStart w:id="76" w:name="_Toc267127985"/>
      <w:bookmarkStart w:id="77" w:name="_Toc256262197"/>
      <w:bookmarkEnd w:id="75"/>
      <w:bookmarkEnd w:id="76"/>
      <w:bookmarkEnd w:id="77"/>
      <w:r>
        <w:rPr>
          <w:rFonts w:ascii="Arial" w:hAnsi="Arial"/>
          <w:bCs w:val="false"/>
          <w:sz w:val="24"/>
          <w:szCs w:val="24"/>
          <w:u w:val="single"/>
        </w:rPr>
        <w:t>4.3 Approval of Proposals</w:t>
      </w:r>
    </w:p>
    <w:p>
      <w:pPr>
        <w:pStyle w:val="style0"/>
        <w:spacing w:after="0" w:before="280"/>
        <w:contextualSpacing w:val="false"/>
        <w:jc w:val="both"/>
        <w:rPr>
          <w:rFonts w:ascii="Arial" w:hAnsi="Arial"/>
        </w:rPr>
      </w:pPr>
      <w:r>
        <w:rPr>
          <w:rFonts w:ascii="Arial" w:hAnsi="Arial"/>
        </w:rPr>
        <w:t>The final ratings of the submitted proposals will be ranked in descending order. Approval for the specific experiment requested will be granted, starting with the proposal that has the highest rating and then working downwards.</w:t>
      </w:r>
    </w:p>
    <w:p>
      <w:pPr>
        <w:pStyle w:val="style0"/>
        <w:spacing w:after="0" w:before="280"/>
        <w:contextualSpacing w:val="false"/>
        <w:jc w:val="both"/>
        <w:rPr>
          <w:rFonts w:ascii="Arial" w:hAnsi="Arial"/>
        </w:rPr>
      </w:pPr>
      <w:r>
        <w:rPr>
          <w:rFonts w:ascii="Arial" w:hAnsi="Arial"/>
        </w:rPr>
        <w:t>The results of the selection will be posted on the SOCIB web site. The leader of each selected user group will be contacted directly by the manager of the Glider Facility to receive information/guidelines for in person/hands-on access or shipment for remote access.</w:t>
      </w:r>
    </w:p>
    <w:p>
      <w:pPr>
        <w:pStyle w:val="style0"/>
        <w:spacing w:after="0" w:before="280"/>
        <w:contextualSpacing w:val="false"/>
        <w:jc w:val="both"/>
        <w:rPr>
          <w:rFonts w:ascii="Arial" w:hAnsi="Arial"/>
        </w:rPr>
      </w:pPr>
      <w:r>
        <w:rPr>
          <w:rFonts w:ascii="Arial" w:hAnsi="Arial"/>
        </w:rPr>
      </w:r>
    </w:p>
    <w:p>
      <w:pPr>
        <w:pStyle w:val="style2"/>
        <w:spacing w:after="280" w:before="280"/>
        <w:contextualSpacing w:val="false"/>
        <w:rPr>
          <w:rFonts w:ascii="Arial" w:hAnsi="Arial"/>
          <w:bCs w:val="false"/>
          <w:sz w:val="24"/>
          <w:szCs w:val="24"/>
          <w:u w:val="single"/>
        </w:rPr>
      </w:pPr>
      <w:bookmarkStart w:id="78" w:name="__RefHeading__3372_1951723236"/>
      <w:bookmarkStart w:id="79" w:name="_Toc267127986"/>
      <w:bookmarkStart w:id="80" w:name="_Toc256262198"/>
      <w:bookmarkEnd w:id="78"/>
      <w:bookmarkEnd w:id="79"/>
      <w:bookmarkEnd w:id="80"/>
      <w:r>
        <w:rPr>
          <w:rFonts w:ascii="Arial" w:hAnsi="Arial"/>
          <w:bCs w:val="false"/>
          <w:sz w:val="24"/>
          <w:szCs w:val="24"/>
          <w:u w:val="single"/>
        </w:rPr>
        <w:t>4.4 Post-access requirements</w:t>
      </w:r>
    </w:p>
    <w:p>
      <w:pPr>
        <w:pStyle w:val="style0"/>
        <w:spacing w:after="0" w:before="280"/>
        <w:contextualSpacing w:val="false"/>
        <w:jc w:val="both"/>
        <w:rPr>
          <w:rFonts w:ascii="Arial" w:hAnsi="Arial"/>
        </w:rPr>
      </w:pPr>
      <w:r>
        <w:rPr>
          <w:rFonts w:ascii="Arial" w:hAnsi="Arial"/>
        </w:rPr>
        <w:t>After the end of the experiment, the user group leader must submit</w:t>
      </w:r>
    </w:p>
    <w:p>
      <w:pPr>
        <w:pStyle w:val="style0"/>
        <w:spacing w:after="0" w:before="280"/>
        <w:ind w:hanging="0" w:left="360" w:right="0"/>
        <w:contextualSpacing w:val="false"/>
        <w:jc w:val="both"/>
        <w:rPr>
          <w:rFonts w:ascii="Arial" w:hAnsi="Arial"/>
        </w:rPr>
      </w:pPr>
      <w:r>
        <w:rPr>
          <w:rFonts w:ascii="Arial" w:hAnsi="Arial"/>
          <w:b/>
        </w:rPr>
        <w:t>I.</w:t>
      </w:r>
      <w:r>
        <w:rPr>
          <w:rFonts w:ascii="Arial" w:hAnsi="Arial"/>
        </w:rPr>
        <w:t xml:space="preserve"> A summary report to SOCIB describing the scientific output of the access received. Notification and details regarding the report format and submission deadline will be sent out via email in due time. The reports will be published on the SOCIB web site. </w:t>
      </w:r>
    </w:p>
    <w:p>
      <w:pPr>
        <w:pStyle w:val="style0"/>
        <w:spacing w:after="0" w:before="280"/>
        <w:ind w:hanging="0" w:left="360" w:right="0"/>
        <w:contextualSpacing w:val="false"/>
        <w:jc w:val="both"/>
        <w:rPr>
          <w:rFonts w:ascii="Arial" w:hAnsi="Arial"/>
        </w:rPr>
      </w:pPr>
      <w:r>
        <w:rPr>
          <w:rFonts w:ascii="Arial" w:hAnsi="Arial"/>
          <w:b/>
        </w:rPr>
        <w:t>II.</w:t>
      </w:r>
      <w:r>
        <w:rPr>
          <w:rFonts w:ascii="Arial" w:hAnsi="Arial"/>
        </w:rPr>
        <w:t xml:space="preserve"> Any publications resulting from the experiment must be reported to SOCIB. Furthermore, all such publications must also contain references to the SOCIB agreement and acknowledgements to SOCIB.  The involvement of SOCIB’s science interests, and SOCIB collaboration is encouraged at all stages.</w:t>
      </w:r>
    </w:p>
    <w:p>
      <w:pPr>
        <w:pStyle w:val="style0"/>
        <w:spacing w:after="0" w:before="280"/>
        <w:ind w:hanging="0" w:left="360" w:right="0"/>
        <w:contextualSpacing w:val="false"/>
        <w:jc w:val="both"/>
        <w:rPr>
          <w:rFonts w:ascii="Arial" w:hAnsi="Arial"/>
        </w:rPr>
      </w:pPr>
      <w:r>
        <w:rPr>
          <w:rFonts w:ascii="Arial" w:hAnsi="Arial"/>
          <w:b/>
        </w:rPr>
        <w:t>III.</w:t>
      </w:r>
      <w:r>
        <w:rPr>
          <w:rFonts w:ascii="Arial" w:hAnsi="Arial"/>
        </w:rPr>
        <w:t xml:space="preserve"> SOCIB strongly encourages that data management follows the open access protocols of H2020 programme (http://ec.europa.eu/research/participants/data/ref/h2020/grants_manual/hi/oa_pilot/h2020-hi-oa-pilot-guide_en.pdf) and SOCIB Endurance lines with data being available through the SOCIB Data Centre web site.</w:t>
      </w:r>
    </w:p>
    <w:p>
      <w:pPr>
        <w:pStyle w:val="style0"/>
        <w:spacing w:after="0" w:before="280"/>
        <w:ind w:hanging="0" w:left="360" w:right="0"/>
        <w:contextualSpacing w:val="false"/>
        <w:jc w:val="both"/>
        <w:rPr>
          <w:rFonts w:ascii="Arial" w:hAnsi="Arial"/>
        </w:rPr>
      </w:pPr>
      <w:r>
        <w:rPr>
          <w:rFonts w:ascii="Arial" w:hAnsi="Arial"/>
        </w:rPr>
        <w:t xml:space="preserve"> </w:t>
      </w:r>
    </w:p>
    <w:p>
      <w:pPr>
        <w:pStyle w:val="style0"/>
        <w:keepNext/>
        <w:shd w:fill="B6DDE8" w:val="clear"/>
        <w:spacing w:after="0" w:before="280"/>
        <w:contextualSpacing w:val="false"/>
        <w:rPr>
          <w:rFonts w:ascii="Arial" w:eastAsia="Times New Roman" w:hAnsi="Arial"/>
          <w:b/>
          <w:color w:val="1F497D"/>
        </w:rPr>
      </w:pPr>
      <w:bookmarkStart w:id="81" w:name="__RefHeading__3374_1951723236"/>
      <w:bookmarkEnd w:id="81"/>
      <w:r>
        <w:rPr>
          <w:rFonts w:ascii="Arial" w:eastAsia="Times New Roman" w:hAnsi="Arial"/>
          <w:b/>
          <w:color w:val="1F497D"/>
        </w:rPr>
        <w:t xml:space="preserve">5. Annexes A   </w:t>
      </w:r>
    </w:p>
    <w:p>
      <w:pPr>
        <w:pStyle w:val="style2"/>
        <w:rPr>
          <w:rFonts w:ascii="Arial" w:hAnsi="Arial"/>
          <w:bCs w:val="false"/>
          <w:sz w:val="24"/>
          <w:szCs w:val="24"/>
          <w:u w:val="single"/>
        </w:rPr>
      </w:pPr>
      <w:bookmarkStart w:id="82" w:name="__RefHeading__3376_1951723236"/>
      <w:bookmarkStart w:id="83" w:name="_Toc267127987"/>
      <w:bookmarkStart w:id="84" w:name="_Toc256262199"/>
      <w:bookmarkEnd w:id="82"/>
      <w:r>
        <w:rPr>
          <w:rFonts w:ascii="Arial" w:eastAsia="Times New Roman" w:hAnsi="Arial"/>
          <w:sz w:val="24"/>
          <w:szCs w:val="24"/>
          <w:u w:val="single"/>
          <w:lang w:val="en-US"/>
        </w:rPr>
        <w:t>A. 5.1: S</w:t>
      </w:r>
      <w:r>
        <w:rPr>
          <w:rFonts w:ascii="Arial" w:hAnsi="Arial"/>
          <w:sz w:val="24"/>
          <w:szCs w:val="24"/>
          <w:u w:val="single"/>
        </w:rPr>
        <w:t>ummary</w:t>
      </w:r>
      <w:bookmarkEnd w:id="83"/>
      <w:bookmarkEnd w:id="84"/>
      <w:r>
        <w:rPr>
          <w:rFonts w:ascii="Arial" w:hAnsi="Arial"/>
          <w:bCs w:val="false"/>
          <w:sz w:val="24"/>
          <w:szCs w:val="24"/>
          <w:u w:val="single"/>
        </w:rPr>
        <w:t xml:space="preserve"> description of SOCIB glider Facility in March 2014:</w:t>
      </w:r>
    </w:p>
    <w:p>
      <w:pPr>
        <w:pStyle w:val="style0"/>
        <w:spacing w:after="0" w:before="280"/>
        <w:contextualSpacing w:val="false"/>
        <w:jc w:val="both"/>
        <w:rPr>
          <w:rFonts w:ascii="Arial" w:hAnsi="Arial"/>
        </w:rPr>
      </w:pPr>
      <w:r>
        <w:rPr>
          <w:rFonts w:ascii="Arial" w:hAnsi="Arial"/>
        </w:rPr>
        <w:t xml:space="preserve">Gliders are an example of new technologies being progressively implemented in coastal to open ocean regions allowing repeated high-resolution monitoring of specific areas, showing the dynamical relevance of new features, such as  sub-mesoscale eddies that are characterised by strong horizontal gradients and intense vertical motions. </w:t>
      </w:r>
    </w:p>
    <w:p>
      <w:pPr>
        <w:pStyle w:val="style0"/>
        <w:spacing w:after="0" w:before="280"/>
        <w:contextualSpacing w:val="false"/>
        <w:jc w:val="both"/>
        <w:rPr>
          <w:rFonts w:ascii="Arial" w:hAnsi="Arial"/>
        </w:rPr>
      </w:pPr>
      <w:r>
        <w:rPr>
          <w:rFonts w:ascii="Arial" w:hAnsi="Arial"/>
        </w:rPr>
        <w:t xml:space="preserve">The Glider Facility is operational at SOCIB since 2013 and is run with in kind support (vehicle, laboratories and personnel) from IMEDEA (CSIC-UIB). SOCIB has improved the glider infrastructure providing new glider units, new electronics, pressure chamber (1.000 m), ballasting and operations labs, as well as new deployment capabilities (Hurricane Zodiac 9.2 m RIB; Van, etc.). </w:t>
      </w:r>
    </w:p>
    <w:p>
      <w:pPr>
        <w:pStyle w:val="style0"/>
        <w:spacing w:after="0" w:before="280"/>
        <w:contextualSpacing w:val="false"/>
        <w:jc w:val="both"/>
        <w:rPr>
          <w:rFonts w:ascii="Arial" w:hAnsi="Arial"/>
        </w:rPr>
      </w:pPr>
      <w:r>
        <w:rPr>
          <w:rFonts w:ascii="Arial" w:hAnsi="Arial"/>
        </w:rPr>
        <w:t xml:space="preserve">The present SOCIB glider fleet consists of 5 Slocum gliders (3 in kind from IMEDEA) and 2 iRobot Seagliders. More than 30 glider missions have been performed, collecting ~25000 hydrographic and biogeochemical profiles. </w:t>
      </w:r>
    </w:p>
    <w:p>
      <w:pPr>
        <w:pStyle w:val="style0"/>
        <w:spacing w:after="0" w:before="280"/>
        <w:contextualSpacing w:val="false"/>
        <w:jc w:val="both"/>
        <w:rPr>
          <w:rFonts w:ascii="Arial" w:hAnsi="Arial"/>
        </w:rPr>
      </w:pPr>
      <w:r>
        <w:rPr>
          <w:rFonts w:ascii="Arial" w:hAnsi="Arial"/>
        </w:rPr>
      </w:r>
    </w:p>
    <w:tbl>
      <w:tblPr>
        <w:jc w:val="left"/>
        <w:tblInd w:type="dxa" w:w="0"/>
        <w:tblBorders>
          <w:top w:val="nil"/>
          <w:left w:val="nil"/>
          <w:bottom w:color="1A879D" w:space="0" w:sz="18" w:val="single"/>
          <w:insideH w:color="1A879D" w:space="0" w:sz="18" w:val="single"/>
          <w:right w:color="1A879D" w:space="0" w:sz="18" w:val="single"/>
          <w:insideV w:color="1A879D" w:space="0" w:sz="18" w:val="single"/>
        </w:tblBorders>
        <w:tblCellMar>
          <w:top w:type="dxa" w:w="0"/>
          <w:left w:type="dxa" w:w="130"/>
          <w:bottom w:type="dxa" w:w="0"/>
          <w:right w:type="dxa" w:w="108"/>
        </w:tblCellMar>
      </w:tblPr>
      <w:tblGrid>
        <w:gridCol w:w="1525"/>
        <w:gridCol w:w="996"/>
        <w:gridCol w:w="840"/>
        <w:gridCol w:w="855"/>
        <w:gridCol w:w="992"/>
        <w:gridCol w:w="850"/>
        <w:gridCol w:w="991"/>
        <w:gridCol w:w="850"/>
        <w:gridCol w:w="713"/>
      </w:tblGrid>
      <w:tr>
        <w:trPr>
          <w:trHeight w:hRule="exact" w:val="1233"/>
          <w:cantSplit w:val="true"/>
        </w:trPr>
        <w:tc>
          <w:tcPr>
            <w:tcW w:type="dxa" w:w="1525"/>
            <w:tcBorders>
              <w:top w:val="nil"/>
              <w:left w:val="nil"/>
              <w:bottom w:color="1A879D" w:space="0" w:sz="18" w:val="single"/>
              <w:right w:color="1A879D" w:space="0" w:sz="18" w:val="single"/>
            </w:tcBorders>
            <w:shd w:fill="auto" w:val="clea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Name</w:t>
            </w:r>
          </w:p>
        </w:tc>
        <w:tc>
          <w:tcPr>
            <w:tcW w:type="dxa" w:w="840"/>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Model</w:t>
            </w:r>
          </w:p>
        </w:tc>
        <w:tc>
          <w:tcPr>
            <w:tcW w:type="dxa" w:w="855"/>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Depth Range</w:t>
            </w:r>
          </w:p>
          <w:p>
            <w:pPr>
              <w:pStyle w:val="style0"/>
              <w:ind w:hanging="0" w:left="113" w:right="113"/>
              <w:jc w:val="center"/>
              <w:rPr>
                <w:rFonts w:cs=""/>
                <w:b/>
                <w:color w:val="FFFFFF"/>
                <w:sz w:val="20"/>
                <w:szCs w:val="22"/>
                <w:lang w:eastAsia="en-US" w:val="es-ES"/>
              </w:rPr>
            </w:pPr>
            <w:r>
              <w:rPr>
                <w:rFonts w:cs=""/>
                <w:b/>
                <w:color w:val="FFFFFF"/>
                <w:sz w:val="20"/>
                <w:szCs w:val="22"/>
                <w:lang w:eastAsia="en-US" w:val="es-ES"/>
              </w:rPr>
              <w:t>(m)</w:t>
            </w:r>
          </w:p>
        </w:tc>
        <w:tc>
          <w:tcPr>
            <w:tcW w:type="dxa" w:w="992"/>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Science Sensors</w:t>
            </w:r>
          </w:p>
        </w:tc>
        <w:tc>
          <w:tcPr>
            <w:tcW w:type="dxa" w:w="850"/>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Max. Autonomy</w:t>
            </w:r>
          </w:p>
          <w:p>
            <w:pPr>
              <w:pStyle w:val="style0"/>
              <w:ind w:hanging="0" w:left="113" w:right="113"/>
              <w:jc w:val="center"/>
              <w:rPr>
                <w:rFonts w:cs=""/>
                <w:b/>
                <w:color w:val="FFFFFF"/>
                <w:sz w:val="20"/>
                <w:szCs w:val="22"/>
                <w:lang w:eastAsia="en-US" w:val="en-US"/>
              </w:rPr>
            </w:pPr>
            <w:r>
              <w:rPr>
                <w:rFonts w:cs=""/>
                <w:b/>
                <w:color w:val="FFFFFF"/>
                <w:sz w:val="20"/>
                <w:szCs w:val="22"/>
                <w:lang w:eastAsia="en-US" w:val="en-US"/>
              </w:rPr>
              <w:t>(days)</w:t>
            </w:r>
          </w:p>
        </w:tc>
        <w:tc>
          <w:tcPr>
            <w:tcW w:type="dxa" w:w="991"/>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Property Of</w:t>
            </w:r>
          </w:p>
        </w:tc>
        <w:tc>
          <w:tcPr>
            <w:tcW w:type="dxa" w:w="850"/>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 xml:space="preserve">Managed </w:t>
            </w:r>
          </w:p>
          <w:p>
            <w:pPr>
              <w:pStyle w:val="style0"/>
              <w:ind w:hanging="0" w:left="113" w:right="113"/>
              <w:jc w:val="center"/>
              <w:rPr>
                <w:rFonts w:cs=""/>
                <w:b/>
                <w:color w:val="FFFFFF"/>
                <w:sz w:val="20"/>
                <w:szCs w:val="22"/>
                <w:lang w:eastAsia="en-US" w:val="en-US"/>
              </w:rPr>
            </w:pPr>
            <w:r>
              <w:rPr>
                <w:rFonts w:cs=""/>
                <w:b/>
                <w:color w:val="FFFFFF"/>
                <w:sz w:val="20"/>
                <w:szCs w:val="22"/>
                <w:lang w:eastAsia="en-US" w:val="en-US"/>
              </w:rPr>
              <w:t>By</w:t>
            </w:r>
          </w:p>
        </w:tc>
        <w:tc>
          <w:tcPr>
            <w:tcW w:type="dxa" w:w="713"/>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Purchase</w:t>
            </w:r>
          </w:p>
          <w:p>
            <w:pPr>
              <w:pStyle w:val="style0"/>
              <w:ind w:hanging="0" w:left="113" w:right="113"/>
              <w:jc w:val="center"/>
              <w:rPr>
                <w:rFonts w:cs=""/>
                <w:b/>
                <w:color w:val="FFFFFF"/>
                <w:sz w:val="20"/>
                <w:szCs w:val="22"/>
                <w:lang w:eastAsia="en-US" w:val="en-US"/>
              </w:rPr>
            </w:pPr>
            <w:r>
              <w:rPr>
                <w:rFonts w:cs=""/>
                <w:b/>
                <w:color w:val="FFFFFF"/>
                <w:sz w:val="20"/>
                <w:szCs w:val="22"/>
                <w:lang w:eastAsia="en-US" w:val="en-US"/>
              </w:rPr>
              <w:t>Year</w:t>
            </w:r>
          </w:p>
        </w:tc>
      </w:tr>
      <w:tr>
        <w:trPr>
          <w:cantSplit w:val="false"/>
        </w:trPr>
        <w:tc>
          <w:tcPr>
            <w:tcW w:type="dxa" w:w="1525"/>
            <w:vMerge w:val="restart"/>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Cs w:val="22"/>
                <w:lang w:eastAsia="en-US" w:val="es-ES"/>
                <w:drawing>
                  <wp:inline distB="0" distL="0" distR="0" distT="0">
                    <wp:extent cx="876300" cy="76200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1"/>
                            <a:srcRect/>
                            <a:stretch>
                              <a:fillRect/>
                            </a:stretch>
                          </pic:blipFill>
                          <pic:spPr bwMode="auto">
                            <a:xfrm>
                              <a:off x="0" y="0"/>
                              <a:ext cx="876300" cy="762000"/>
                            </a:xfrm>
                            <a:prstGeom prst="rect">
                              <a:avLst/>
                            </a:prstGeom>
                            <a:noFill/>
                            <a:ln w="9525">
                              <a:noFill/>
                              <a:miter lim="800000"/>
                              <a:headEnd/>
                              <a:tailEnd/>
                            </a:ln>
                          </pic:spPr>
                        </pic:pic>
                      </a:graphicData>
                    </a:graphic>
                  </wp:inline>
                </w:drawing>
              </w:rPr>
            </w:pPr>
            <w:r>
              <w:rPr>
                <w:rFonts w:cs=""/>
                <w:szCs w:val="22"/>
                <w:lang w:eastAsia="en-US" w:val="es-ES"/>
                <w:drawing>
                  <wp:inline distB="0" distL="0" distR="0" distT="0">
                    <wp:extent cx="876300" cy="76200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1"/>
                            <a:srcRect/>
                            <a:stretch>
                              <a:fillRect/>
                            </a:stretch>
                          </pic:blipFill>
                          <pic:spPr bwMode="auto">
                            <a:xfrm>
                              <a:off x="0" y="0"/>
                              <a:ext cx="876300" cy="762000"/>
                            </a:xfrm>
                            <a:prstGeom prst="rect">
                              <a:avLst/>
                            </a:prstGeom>
                            <a:noFill/>
                            <a:ln w="9525">
                              <a:noFill/>
                              <a:miter lim="800000"/>
                              <a:headEnd/>
                              <a:tailEnd/>
                            </a:ln>
                          </pic:spPr>
                        </pic:pic>
                      </a:graphicData>
                    </a:graphic>
                  </wp:inline>
                </w:drawing>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n-US"/>
              </w:rPr>
            </w:pPr>
            <w:r>
              <w:rPr>
                <w:rFonts w:cs=""/>
                <w:b/>
                <w:sz w:val="20"/>
                <w:szCs w:val="22"/>
                <w:lang w:eastAsia="en-US" w:val="en-US"/>
              </w:rPr>
              <w:t>icoast00</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Slocum G1</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0-200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spacing w:after="280" w:before="280"/>
              <w:contextualSpacing w:val="false"/>
              <w:jc w:val="center"/>
              <w:rPr>
                <w:rFonts w:cs=""/>
                <w:sz w:val="20"/>
                <w:szCs w:val="22"/>
                <w:lang w:eastAsia="en-US" w:val="en-US"/>
              </w:rPr>
            </w:pPr>
            <w:r>
              <w:rPr>
                <w:rFonts w:cs=""/>
                <w:sz w:val="20"/>
                <w:szCs w:val="22"/>
                <w:lang w:eastAsia="en-US" w:val="en-US"/>
              </w:rPr>
              <w:t>24</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CSIC</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2007</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b/>
                <w:sz w:val="20"/>
                <w:szCs w:val="22"/>
                <w:lang w:eastAsia="en-US"/>
              </w:rPr>
            </w:pPr>
            <w:r>
              <w:rPr>
                <w:rFonts w:cs=""/>
                <w:b/>
                <w:sz w:val="20"/>
                <w:szCs w:val="22"/>
                <w:lang w:eastAsia="en-US" w:val="en-US"/>
              </w:rPr>
              <w:t>i</w:t>
            </w:r>
            <w:r>
              <w:rPr>
                <w:rFonts w:cs=""/>
                <w:b/>
                <w:sz w:val="20"/>
                <w:szCs w:val="22"/>
                <w:lang w:eastAsia="en-US"/>
              </w:rPr>
              <w:t>deep02</w:t>
            </w:r>
          </w:p>
        </w:tc>
        <w:tc>
          <w:tcPr>
            <w:tcW w:type="dxa" w:w="84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G1</w:t>
            </w:r>
          </w:p>
        </w:tc>
        <w:tc>
          <w:tcPr>
            <w:tcW w:type="dxa" w:w="855"/>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24</w:t>
            </w:r>
          </w:p>
        </w:tc>
        <w:tc>
          <w:tcPr>
            <w:tcW w:type="dxa" w:w="991"/>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CSIC</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2009</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s-ES"/>
              </w:rPr>
            </w:pPr>
            <w:r>
              <w:rPr>
                <w:rFonts w:cs=""/>
                <w:b/>
                <w:sz w:val="20"/>
                <w:szCs w:val="22"/>
                <w:lang w:eastAsia="en-US" w:val="es-ES"/>
              </w:rPr>
              <w:t>ideep00</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G1</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24</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CSIC</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2010</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sdeep00</w:t>
            </w:r>
          </w:p>
        </w:tc>
        <w:tc>
          <w:tcPr>
            <w:tcW w:type="dxa" w:w="84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G2</w:t>
            </w:r>
          </w:p>
        </w:tc>
        <w:tc>
          <w:tcPr>
            <w:tcW w:type="dxa" w:w="855"/>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CTD,</w:t>
            </w:r>
          </w:p>
          <w:p>
            <w:pPr>
              <w:pStyle w:val="style0"/>
              <w:jc w:val="center"/>
              <w:rPr>
                <w:rFonts w:cs=""/>
                <w:sz w:val="20"/>
                <w:szCs w:val="22"/>
                <w:lang w:eastAsia="en-US" w:val="es-ES"/>
              </w:rPr>
            </w:pPr>
            <w:r>
              <w:rPr>
                <w:rFonts w:cs=""/>
                <w:sz w:val="20"/>
                <w:szCs w:val="22"/>
                <w:lang w:eastAsia="en-US" w:val="es-ES"/>
              </w:rPr>
              <w:t>Oxygen, FLNTU</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2011</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sdeep01</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G2</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2011</w:t>
            </w:r>
          </w:p>
        </w:tc>
      </w:tr>
      <w:tr>
        <w:trPr>
          <w:trHeight w:hRule="atLeast" w:val="751"/>
          <w:cantSplit w:val="false"/>
        </w:trPr>
        <w:tc>
          <w:tcPr>
            <w:tcW w:type="dxa" w:w="1525"/>
            <w:vMerge w:val="restart"/>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Cs w:val="22"/>
                <w:lang w:eastAsia="en-US" w:val="es-ES"/>
                <w:drawing>
                  <wp:inline distB="0" distL="0" distR="0" distT="0">
                    <wp:extent cx="800100" cy="9144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12"/>
                            <a:srcRect/>
                            <a:stretch>
                              <a:fillRect/>
                            </a:stretch>
                          </pic:blipFill>
                          <pic:spPr bwMode="auto">
                            <a:xfrm>
                              <a:off x="0" y="0"/>
                              <a:ext cx="800100" cy="914400"/>
                            </a:xfrm>
                            <a:prstGeom prst="rect">
                              <a:avLst/>
                            </a:prstGeom>
                            <a:noFill/>
                            <a:ln w="9525">
                              <a:noFill/>
                              <a:miter lim="800000"/>
                              <a:headEnd/>
                              <a:tailEnd/>
                            </a:ln>
                          </pic:spPr>
                        </pic:pic>
                      </a:graphicData>
                    </a:graphic>
                  </wp:inline>
                </w:drawing>
              </w:rPr>
            </w:pPr>
            <w:r>
              <w:rPr>
                <w:rFonts w:cs=""/>
                <w:szCs w:val="22"/>
                <w:lang w:eastAsia="en-US" w:val="es-ES"/>
                <w:drawing>
                  <wp:inline distB="0" distL="0" distR="0" distT="0">
                    <wp:extent cx="800100" cy="9144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12"/>
                            <a:srcRect/>
                            <a:stretch>
                              <a:fillRect/>
                            </a:stretch>
                          </pic:blipFill>
                          <pic:spPr bwMode="auto">
                            <a:xfrm>
                              <a:off x="0" y="0"/>
                              <a:ext cx="800100" cy="914400"/>
                            </a:xfrm>
                            <a:prstGeom prst="rect">
                              <a:avLst/>
                            </a:prstGeom>
                            <a:noFill/>
                            <a:ln w="9525">
                              <a:noFill/>
                              <a:miter lim="800000"/>
                              <a:headEnd/>
                              <a:tailEnd/>
                            </a:ln>
                          </pic:spPr>
                        </pic:pic>
                      </a:graphicData>
                    </a:graphic>
                  </wp:inline>
                </w:drawing>
              </w:rPr>
            </w:r>
          </w:p>
        </w:tc>
        <w:tc>
          <w:tcPr>
            <w:tcW w:type="dxa" w:w="996"/>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sdeep02</w:t>
            </w:r>
          </w:p>
        </w:tc>
        <w:tc>
          <w:tcPr>
            <w:tcW w:type="dxa" w:w="84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Sea Glider</w:t>
            </w:r>
          </w:p>
        </w:tc>
        <w:tc>
          <w:tcPr>
            <w:tcW w:type="dxa" w:w="855"/>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rPr>
                <w:rFonts w:cs=""/>
                <w:sz w:val="20"/>
                <w:szCs w:val="22"/>
                <w:lang w:eastAsia="en-US" w:val="es-ES"/>
              </w:rPr>
            </w:pPr>
            <w:r>
              <w:rPr>
                <w:rFonts w:cs=""/>
                <w:sz w:val="20"/>
                <w:szCs w:val="22"/>
                <w:lang w:eastAsia="en-US" w:val="es-ES"/>
              </w:rPr>
              <w:t xml:space="preserve">  </w:t>
            </w: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2012</w:t>
            </w:r>
          </w:p>
        </w:tc>
      </w:tr>
      <w:tr>
        <w:trPr>
          <w:trHeight w:hRule="atLeast" w:val="663"/>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sdeep03</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Sea Glider</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2012</w:t>
            </w:r>
          </w:p>
        </w:tc>
      </w:tr>
    </w:tbl>
    <w:p>
      <w:pPr>
        <w:pStyle w:val="style0"/>
        <w:rPr/>
      </w:pPr>
      <w:r>
        <w:rPr/>
      </w:r>
    </w:p>
    <w:sectPr>
      <w:footnotePr>
        <w:numFmt w:val="decimal"/>
      </w:footnotePr>
      <w:type w:val="continuous"/>
      <w:pgSz w:h="16838" w:w="11906"/>
      <w:pgMar w:bottom="1418" w:footer="364" w:gutter="0" w:header="426" w:left="1701" w:right="1701" w:top="212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Times">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Tahoma">
    <w:charset w:val="01"/>
    <w:family w:val="roman"/>
    <w:pitch w:val="variable"/>
  </w:font>
  <w:font w:name="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Tahoma" w:cs="Tahoma" w:hAnsi="Tahoma"/>
        <w:b/>
        <w:bCs/>
        <w:color w:val="808080"/>
        <w:sz w:val="16"/>
        <w:szCs w:val="16"/>
        <w:lang w:val="en-US"/>
      </w:rPr>
    </w:pPr>
    <w:r>
      <w:rPr>
        <w:rFonts w:ascii="Tahoma" w:cs="Tahoma" w:hAnsi="Tahoma"/>
        <w:b/>
        <w:bCs/>
        <w:color w:val="808080"/>
        <w:sz w:val="16"/>
        <w:szCs w:val="16"/>
        <w:lang w:val="en-US"/>
      </w:rPr>
    </w:r>
  </w:p>
  <w:p>
    <w:pPr>
      <w:pStyle w:val="style0"/>
      <w:rPr>
        <w:rFonts w:ascii="Tahoma" w:cs="Tahoma" w:hAnsi="Tahoma"/>
        <w:b/>
        <w:bCs/>
        <w:color w:val="808080"/>
        <w:sz w:val="16"/>
        <w:szCs w:val="16"/>
        <w:lang w:val="en-US"/>
      </w:rPr>
    </w:pPr>
    <w:r>
      <w:rPr>
        <w:rFonts w:ascii="Tahoma" w:cs="Tahoma" w:hAnsi="Tahoma"/>
        <w:b/>
        <w:bCs/>
        <w:color w:val="808080"/>
        <w:sz w:val="16"/>
        <w:szCs w:val="16"/>
        <w:lang w:val="en-US"/>
      </w:rPr>
      <w:t>SOCIB</w:t>
    </w:r>
  </w:p>
  <w:p>
    <w:pPr>
      <w:pStyle w:val="style0"/>
      <w:rPr>
        <w:rFonts w:ascii="Arial" w:cs="Arial" w:hAnsi="Arial"/>
        <w:b/>
        <w:bCs/>
        <w:color w:val="000000"/>
        <w:sz w:val="18"/>
        <w:szCs w:val="18"/>
        <w:lang w:val="en-US"/>
      </w:rPr>
    </w:pPr>
    <w:r>
      <w:rPr>
        <w:rFonts w:ascii="Arial" w:cs="Arial" w:hAnsi="Arial"/>
        <w:b/>
        <w:bCs/>
        <w:color w:val="000000"/>
        <w:sz w:val="18"/>
        <w:szCs w:val="18"/>
        <w:lang w:val="en-US"/>
      </w:rPr>
      <w:t>Balearic Islands Coastal Ocean Observing and Forecasting System</w:t>
    </w:r>
    <w:r>
      <w:pict>
        <v:rect fillcolor="#FFFFFF" style="position:absolute;width:15.3pt;height:14pt;margin-top:6.2pt;margin-left:563.3pt">
          <v:textbox inset="0pt,0pt,0pt,0pt">
            <w:txbxContent>
              <w:p>
                <w:r>
                  <w:rPr>
                    <w:rStyle w:val="style23"/>
                  </w:rPr>
                  <w:fldChar w:fldCharType="begin"/>
                </w:r>
                <w:r>
                  <w:instrText> PAGE </w:instrText>
                </w:r>
                <w:r>
                  <w:fldChar w:fldCharType="separate"/>
                </w:r>
                <w:r>
                  <w:t>11</w:t>
                </w:r>
                <w:r>
                  <w:fldChar w:fldCharType="end"/>
                </w:r>
                <w:pStyle w:val="style53"/>
                <w:top w:val="nil"/>
                <w:left w:val="nil"/>
                <w:bottom w:val="nil"/>
                <w:insideH w:val="nil"/>
                <w:right w:val="nil"/>
                <w:insideV w:val="nil"/>
                <w:pPr>
                  <w:rPr>
                    <w:rStyle w:val="style23"/>
                  </w:rPr>
                </w:pPr>
              </w:p>
            </w:txbxContent>
          </v:textbox>
          <w10:wrap side="largest" type="square"/>
        </v:rect>
      </w:pict>
    </w:r>
  </w:p>
  <w:p>
    <w:pPr>
      <w:pStyle w:val="style0"/>
      <w:rPr>
        <w:rFonts w:ascii="Tahoma" w:cs="Tahoma" w:hAnsi="Tahoma"/>
        <w:color w:val="808080"/>
        <w:sz w:val="16"/>
        <w:szCs w:val="16"/>
        <w:lang w:val="es-ES"/>
      </w:rPr>
    </w:pPr>
    <w:r>
      <w:rPr>
        <w:rFonts w:ascii="Tahoma" w:cs="Tahoma" w:hAnsi="Tahoma"/>
        <w:color w:val="808080"/>
        <w:sz w:val="16"/>
        <w:szCs w:val="16"/>
        <w:lang w:val="es-ES"/>
      </w:rPr>
      <w:t>Parc Bit, Edifici Naorte, Bloque A, 2ªp. pta. 3</w:t>
    </w:r>
  </w:p>
  <w:p>
    <w:pPr>
      <w:pStyle w:val="style0"/>
      <w:rPr>
        <w:rFonts w:ascii="Tahoma" w:cs="Tahoma" w:hAnsi="Tahoma"/>
        <w:color w:val="808080"/>
        <w:sz w:val="16"/>
        <w:szCs w:val="16"/>
        <w:lang w:val="es-ES"/>
      </w:rPr>
    </w:pPr>
    <w:r>
      <w:rPr>
        <w:rFonts w:ascii="Tahoma" w:cs="Tahoma" w:hAnsi="Tahoma"/>
        <w:color w:val="808080"/>
        <w:sz w:val="16"/>
        <w:szCs w:val="16"/>
        <w:lang w:val="es-ES"/>
      </w:rPr>
      <w:t>E-07121 Palma de Mallorca</w:t>
    </w:r>
  </w:p>
  <w:p>
    <w:pPr>
      <w:pStyle w:val="style0"/>
      <w:rPr>
        <w:rFonts w:ascii="Tahoma" w:cs="Tahoma" w:hAnsi="Tahoma"/>
        <w:color w:val="808080"/>
        <w:sz w:val="16"/>
        <w:szCs w:val="16"/>
        <w:lang w:val="es-ES"/>
      </w:rPr>
    </w:pPr>
    <w:r>
      <w:rPr>
        <w:rFonts w:ascii="Tahoma" w:cs="Tahoma" w:hAnsi="Tahoma"/>
        <w:color w:val="808080"/>
        <w:sz w:val="16"/>
        <w:szCs w:val="16"/>
        <w:lang w:val="es-ES"/>
      </w:rPr>
      <w:t>Spain</w:t>
    </w:r>
  </w:p>
  <w:p>
    <w:pPr>
      <w:pStyle w:val="style53"/>
      <w:ind w:hanging="0" w:left="0" w:right="360"/>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4"/>
        <w:jc w:val="both"/>
        <w:rPr>
          <w:rFonts w:ascii="Arial" w:cs="Arial" w:hAnsi="Arial"/>
          <w:sz w:val="20"/>
          <w:szCs w:val="20"/>
        </w:rPr>
      </w:pPr>
      <w:r>
        <w:rPr>
          <w:rStyle w:val="style25"/>
          <w:rFonts w:ascii="Arial" w:cs="Arial" w:hAnsi="Arial"/>
        </w:rPr>
        <w:footnoteRef/>
        <w:tab/>
      </w:r>
      <w:r>
        <w:rPr>
          <w:rFonts w:ascii="Arial" w:cs="Arial" w:hAnsi="Arial"/>
        </w:rPr>
        <w:t xml:space="preserve"> </w:t>
      </w:r>
      <w:r>
        <w:rPr>
          <w:rFonts w:ascii="Arial" w:cs="Arial" w:hAnsi="Arial"/>
          <w:sz w:val="20"/>
          <w:szCs w:val="20"/>
        </w:rPr>
        <w:t>JERICO: Towards a Joint European Research Infrastructure network for Coastal Observatories</w:t>
      </w:r>
    </w:p>
  </w:footnote>
  <w:footnote w:id="3">
    <w:p>
      <w:pPr>
        <w:pStyle w:val="style54"/>
        <w:jc w:val="both"/>
        <w:rPr>
          <w:rFonts w:ascii="Arial" w:cs="Arial" w:hAnsi="Arial"/>
          <w:sz w:val="20"/>
          <w:szCs w:val="20"/>
        </w:rPr>
      </w:pPr>
      <w:r>
        <w:rPr>
          <w:rStyle w:val="style25"/>
          <w:rFonts w:ascii="Arial" w:cs="Arial" w:hAnsi="Arial"/>
        </w:rPr>
        <w:footnoteRef/>
        <w:tab/>
      </w:r>
      <w:r>
        <w:rPr>
          <w:rFonts w:ascii="Arial" w:cs="Arial" w:hAnsi="Arial"/>
        </w:rPr>
        <w:t xml:space="preserve"> </w:t>
      </w:r>
      <w:r>
        <w:rPr>
          <w:rFonts w:ascii="Arial" w:cs="Arial" w:hAnsi="Arial"/>
          <w:sz w:val="20"/>
          <w:szCs w:val="20"/>
        </w:rPr>
        <w:t>Tentative title: Supporting flagship international cooperation initiatives: Mediterranean and Black Sea Cooperation Research Alliance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rPr/>
    </w:pPr>
    <w:r>
      <w:rPr/>
      <w:drawing>
        <wp:inline distB="0" distL="0" distR="0" distT="0">
          <wp:extent cx="1651000" cy="685800"/>
          <wp:effectExtent b="0" l="0" r="0" t="0"/>
          <wp:docPr descr="SOCIBlogo"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OCIBlogo" id="3" name="Picture"/>
                  <pic:cNvPicPr>
                    <a:picLocks noChangeArrowheads="1" noChangeAspect="1"/>
                  </pic:cNvPicPr>
                </pic:nvPicPr>
                <pic:blipFill>
                  <a:blip r:embed="rId1"/>
                  <a:srcRect/>
                  <a:stretch>
                    <a:fillRect/>
                  </a:stretch>
                </pic:blipFill>
                <pic:spPr bwMode="auto">
                  <a:xfrm>
                    <a:off x="0" y="0"/>
                    <a:ext cx="1651000" cy="685800"/>
                  </a:xfrm>
                  <a:prstGeom prst="rect">
                    <a:avLst/>
                  </a:prstGeom>
                  <a:noFill/>
                  <a:ln w="9525">
                    <a:noFill/>
                    <a:miter lim="800000"/>
                    <a:headEnd/>
                    <a:tailEnd/>
                  </a:ln>
                </pic:spPr>
              </pic:pic>
            </a:graphicData>
          </a:graphic>
        </wp:inline>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o"/>
      <w:lvlJc w:val="left"/>
      <w:pPr>
        <w:tabs>
          <w:tab w:pos="2160" w:val="num"/>
        </w:tabs>
        <w:ind w:hanging="360" w:left="2160"/>
      </w:pPr>
      <w:rPr>
        <w:rFonts w:ascii="Courier New" w:cs="Courier New" w:hAnsi="Courier New" w:hint="default"/>
        <w:sz w:val="20"/>
      </w:rPr>
    </w:lvl>
    <w:lvl w:ilvl="3">
      <w:start w:val="1"/>
      <w:numFmt w:val="bullet"/>
      <w:lvlText w:val="o"/>
      <w:lvlJc w:val="left"/>
      <w:pPr>
        <w:tabs>
          <w:tab w:pos="2880" w:val="num"/>
        </w:tabs>
        <w:ind w:hanging="360" w:left="2880"/>
      </w:pPr>
      <w:rPr>
        <w:rFonts w:ascii="Courier New" w:cs="Courier New" w:hAnsi="Courier New" w:hint="default"/>
        <w:sz w:val="20"/>
      </w:rPr>
    </w:lvl>
    <w:lvl w:ilvl="4">
      <w:start w:val="1"/>
      <w:numFmt w:val="bullet"/>
      <w:lvlText w:val="o"/>
      <w:lvlJc w:val="left"/>
      <w:pPr>
        <w:tabs>
          <w:tab w:pos="3600" w:val="num"/>
        </w:tabs>
        <w:ind w:hanging="360" w:left="3600"/>
      </w:pPr>
      <w:rPr>
        <w:rFonts w:ascii="Courier New" w:cs="Courier New" w:hAnsi="Courier New" w:hint="default"/>
        <w:sz w:val="20"/>
      </w:rPr>
    </w:lvl>
    <w:lvl w:ilvl="5">
      <w:start w:val="1"/>
      <w:numFmt w:val="bullet"/>
      <w:lvlText w:val="o"/>
      <w:lvlJc w:val="left"/>
      <w:pPr>
        <w:tabs>
          <w:tab w:pos="4320" w:val="num"/>
        </w:tabs>
        <w:ind w:hanging="360" w:left="4320"/>
      </w:pPr>
      <w:rPr>
        <w:rFonts w:ascii="Courier New" w:cs="Courier New" w:hAnsi="Courier New" w:hint="default"/>
        <w:sz w:val="20"/>
      </w:rPr>
    </w:lvl>
    <w:lvl w:ilvl="6">
      <w:start w:val="1"/>
      <w:numFmt w:val="bullet"/>
      <w:lvlText w:val="o"/>
      <w:lvlJc w:val="left"/>
      <w:pPr>
        <w:tabs>
          <w:tab w:pos="5040" w:val="num"/>
        </w:tabs>
        <w:ind w:hanging="360" w:left="5040"/>
      </w:pPr>
      <w:rPr>
        <w:rFonts w:ascii="Courier New" w:cs="Courier New" w:hAnsi="Courier New" w:hint="default"/>
        <w:sz w:val="20"/>
      </w:rPr>
    </w:lvl>
    <w:lvl w:ilvl="7">
      <w:start w:val="1"/>
      <w:numFmt w:val="bullet"/>
      <w:lvlText w:val="o"/>
      <w:lvlJc w:val="left"/>
      <w:pPr>
        <w:tabs>
          <w:tab w:pos="5760" w:val="num"/>
        </w:tabs>
        <w:ind w:hanging="360" w:left="5760"/>
      </w:pPr>
      <w:rPr>
        <w:rFonts w:ascii="Courier New" w:cs="Courier New" w:hAnsi="Courier New" w:hint="default"/>
        <w:sz w:val="20"/>
      </w:rPr>
    </w:lvl>
    <w:lvl w:ilvl="8">
      <w:start w:val="1"/>
      <w:numFmt w:val="bullet"/>
      <w:lvlText w:val="o"/>
      <w:lvlJc w:val="left"/>
      <w:pPr>
        <w:tabs>
          <w:tab w:pos="6480" w:val="num"/>
        </w:tabs>
        <w:ind w:hanging="360" w:left="6480"/>
      </w:pPr>
      <w:rPr>
        <w:rFonts w:ascii="Courier New" w:cs="Courier New" w:hAnsi="Courier New"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o"/>
      <w:lvlJc w:val="left"/>
      <w:pPr>
        <w:tabs>
          <w:tab w:pos="2160" w:val="num"/>
        </w:tabs>
        <w:ind w:hanging="360" w:left="2160"/>
      </w:pPr>
      <w:rPr>
        <w:rFonts w:ascii="Courier New" w:cs="Courier New" w:hAnsi="Courier New" w:hint="default"/>
        <w:sz w:val="20"/>
      </w:rPr>
    </w:lvl>
    <w:lvl w:ilvl="3">
      <w:start w:val="1"/>
      <w:numFmt w:val="bullet"/>
      <w:lvlText w:val="o"/>
      <w:lvlJc w:val="left"/>
      <w:pPr>
        <w:tabs>
          <w:tab w:pos="2880" w:val="num"/>
        </w:tabs>
        <w:ind w:hanging="360" w:left="2880"/>
      </w:pPr>
      <w:rPr>
        <w:rFonts w:ascii="Courier New" w:cs="Courier New" w:hAnsi="Courier New" w:hint="default"/>
        <w:sz w:val="20"/>
      </w:rPr>
    </w:lvl>
    <w:lvl w:ilvl="4">
      <w:start w:val="1"/>
      <w:numFmt w:val="bullet"/>
      <w:lvlText w:val="o"/>
      <w:lvlJc w:val="left"/>
      <w:pPr>
        <w:tabs>
          <w:tab w:pos="3600" w:val="num"/>
        </w:tabs>
        <w:ind w:hanging="360" w:left="3600"/>
      </w:pPr>
      <w:rPr>
        <w:rFonts w:ascii="Courier New" w:cs="Courier New" w:hAnsi="Courier New" w:hint="default"/>
        <w:sz w:val="20"/>
      </w:rPr>
    </w:lvl>
    <w:lvl w:ilvl="5">
      <w:start w:val="1"/>
      <w:numFmt w:val="bullet"/>
      <w:lvlText w:val="o"/>
      <w:lvlJc w:val="left"/>
      <w:pPr>
        <w:tabs>
          <w:tab w:pos="4320" w:val="num"/>
        </w:tabs>
        <w:ind w:hanging="360" w:left="4320"/>
      </w:pPr>
      <w:rPr>
        <w:rFonts w:ascii="Courier New" w:cs="Courier New" w:hAnsi="Courier New" w:hint="default"/>
        <w:sz w:val="20"/>
      </w:rPr>
    </w:lvl>
    <w:lvl w:ilvl="6">
      <w:start w:val="1"/>
      <w:numFmt w:val="bullet"/>
      <w:lvlText w:val="o"/>
      <w:lvlJc w:val="left"/>
      <w:pPr>
        <w:tabs>
          <w:tab w:pos="5040" w:val="num"/>
        </w:tabs>
        <w:ind w:hanging="360" w:left="5040"/>
      </w:pPr>
      <w:rPr>
        <w:rFonts w:ascii="Courier New" w:cs="Courier New" w:hAnsi="Courier New" w:hint="default"/>
        <w:sz w:val="20"/>
      </w:rPr>
    </w:lvl>
    <w:lvl w:ilvl="7">
      <w:start w:val="1"/>
      <w:numFmt w:val="bullet"/>
      <w:lvlText w:val="o"/>
      <w:lvlJc w:val="left"/>
      <w:pPr>
        <w:tabs>
          <w:tab w:pos="5760" w:val="num"/>
        </w:tabs>
        <w:ind w:hanging="360" w:left="5760"/>
      </w:pPr>
      <w:rPr>
        <w:rFonts w:ascii="Courier New" w:cs="Courier New" w:hAnsi="Courier New" w:hint="default"/>
        <w:sz w:val="20"/>
      </w:rPr>
    </w:lvl>
    <w:lvl w:ilvl="8">
      <w:start w:val="1"/>
      <w:numFmt w:val="bullet"/>
      <w:lvlText w:val="o"/>
      <w:lvlJc w:val="left"/>
      <w:pPr>
        <w:tabs>
          <w:tab w:pos="6480" w:val="num"/>
        </w:tabs>
        <w:ind w:hanging="360" w:left="6480"/>
      </w:pPr>
      <w:rPr>
        <w:rFonts w:ascii="Courier New" w:cs="Courier New" w:hAnsi="Courier New" w:hint="default"/>
        <w:sz w:val="20"/>
      </w:rPr>
    </w:lvl>
  </w:abstractNum>
  <w:abstractNum w:abstractNumId="3">
    <w:lvl w:ilvl="0">
      <w:start w:val="5"/>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Times New Roman" w:eastAsia="MS Mincho" w:hAnsi="Cambria"/>
      <w:color w:val="auto"/>
      <w:sz w:val="24"/>
      <w:szCs w:val="24"/>
      <w:lang w:bidi="ar-SA" w:eastAsia="es-ES" w:val="en-GB"/>
    </w:rPr>
  </w:style>
  <w:style w:styleId="style1" w:type="paragraph">
    <w:name w:val="Heading 1"/>
    <w:basedOn w:val="style0"/>
    <w:next w:val="style1"/>
    <w:pPr>
      <w:keepNext/>
      <w:spacing w:after="60" w:before="240"/>
      <w:contextualSpacing w:val="false"/>
    </w:pPr>
    <w:rPr>
      <w:rFonts w:eastAsia="Times New Roman"/>
      <w:b/>
      <w:bCs/>
      <w:sz w:val="32"/>
      <w:szCs w:val="32"/>
    </w:rPr>
  </w:style>
  <w:style w:styleId="style2" w:type="paragraph">
    <w:name w:val="Heading 2"/>
    <w:basedOn w:val="style0"/>
    <w:next w:val="style2"/>
    <w:pPr>
      <w:spacing w:after="280" w:before="280"/>
      <w:contextualSpacing w:val="false"/>
    </w:pPr>
    <w:rPr>
      <w:rFonts w:ascii="Times" w:hAnsi="Times"/>
      <w:b/>
      <w:bCs/>
      <w:sz w:val="36"/>
      <w:szCs w:val="36"/>
    </w:rPr>
  </w:style>
  <w:style w:styleId="style8" w:type="paragraph">
    <w:name w:val="Heading 8"/>
    <w:basedOn w:val="style0"/>
    <w:next w:val="style8"/>
    <w:pPr>
      <w:keepNext/>
      <w:keepLines/>
      <w:spacing w:after="0" w:before="200"/>
      <w:contextualSpacing w:val="false"/>
    </w:pPr>
    <w:rPr>
      <w:rFonts w:ascii="Calibri" w:cs="" w:hAnsi="Calibri"/>
      <w:color w:val="404040"/>
      <w:sz w:val="20"/>
      <w:szCs w:val="20"/>
    </w:rPr>
  </w:style>
  <w:style w:styleId="style9" w:type="paragraph">
    <w:name w:val="Heading 9"/>
    <w:basedOn w:val="style0"/>
    <w:next w:val="style9"/>
    <w:pPr>
      <w:keepNext/>
      <w:keepLines/>
      <w:spacing w:after="0" w:before="200"/>
      <w:contextualSpacing w:val="false"/>
    </w:pPr>
    <w:rPr>
      <w:rFonts w:ascii="Calibri" w:cs="" w:hAnsi="Calibri"/>
      <w:i/>
      <w:iCs/>
      <w:color w:val="404040"/>
      <w:sz w:val="20"/>
      <w:szCs w:val="20"/>
    </w:rPr>
  </w:style>
  <w:style w:styleId="style15" w:type="character">
    <w:name w:val="Default Paragraph Font"/>
    <w:next w:val="style15"/>
    <w:rPr/>
  </w:style>
  <w:style w:styleId="style16" w:type="character">
    <w:name w:val="Texto de globo Car"/>
    <w:basedOn w:val="style15"/>
    <w:next w:val="style16"/>
    <w:rPr>
      <w:rFonts w:ascii="Lucida Grande" w:cs="Lucida Grande" w:hAnsi="Lucida Grande"/>
      <w:sz w:val="18"/>
      <w:szCs w:val="18"/>
    </w:rPr>
  </w:style>
  <w:style w:styleId="style17" w:type="character">
    <w:name w:val="Título 2 Car"/>
    <w:next w:val="style17"/>
    <w:rPr>
      <w:rFonts w:ascii="Times" w:hAnsi="Times"/>
      <w:b/>
      <w:bCs/>
      <w:sz w:val="36"/>
      <w:szCs w:val="36"/>
    </w:rPr>
  </w:style>
  <w:style w:styleId="style18" w:type="character">
    <w:name w:val="Strong Emphasis"/>
    <w:next w:val="style18"/>
    <w:rPr>
      <w:b/>
      <w:bCs/>
    </w:rPr>
  </w:style>
  <w:style w:styleId="style19" w:type="character">
    <w:name w:val="Internet Link"/>
    <w:next w:val="style19"/>
    <w:rPr>
      <w:color w:val="0000FF"/>
      <w:u w:val="single"/>
      <w:lang w:bidi="zxx-" w:eastAsia="zxx-" w:val="zxx-"/>
    </w:rPr>
  </w:style>
  <w:style w:styleId="style20" w:type="character">
    <w:name w:val="Texto de globo Car1"/>
    <w:next w:val="style20"/>
    <w:rPr>
      <w:rFonts w:ascii="Lucida Grande" w:cs="Lucida Grande" w:hAnsi="Lucida Grande"/>
      <w:sz w:val="18"/>
      <w:szCs w:val="18"/>
    </w:rPr>
  </w:style>
  <w:style w:styleId="style21" w:type="character">
    <w:name w:val="Text body Car"/>
    <w:next w:val="style21"/>
    <w:rPr>
      <w:rFonts w:ascii="Times" w:cs="Arial" w:eastAsia="Times New Roman" w:hAnsi="Times"/>
      <w:bCs/>
      <w:sz w:val="22"/>
      <w:szCs w:val="24"/>
      <w:lang w:eastAsia="es-ES" w:val="en-US"/>
    </w:rPr>
  </w:style>
  <w:style w:styleId="style22" w:type="character">
    <w:name w:val="Pie de página Car"/>
    <w:next w:val="style22"/>
    <w:rPr>
      <w:sz w:val="24"/>
      <w:szCs w:val="24"/>
      <w:lang w:val="en-GB"/>
    </w:rPr>
  </w:style>
  <w:style w:styleId="style23" w:type="character">
    <w:name w:val="page number"/>
    <w:next w:val="style23"/>
    <w:rPr/>
  </w:style>
  <w:style w:styleId="style24" w:type="character">
    <w:name w:val="Texto nota pie Car"/>
    <w:next w:val="style24"/>
    <w:rPr>
      <w:sz w:val="24"/>
      <w:szCs w:val="24"/>
      <w:lang w:val="en-GB"/>
    </w:rPr>
  </w:style>
  <w:style w:styleId="style25" w:type="character">
    <w:name w:val="footnote reference"/>
    <w:next w:val="style25"/>
    <w:rPr>
      <w:vertAlign w:val="superscript"/>
    </w:rPr>
  </w:style>
  <w:style w:styleId="style26" w:type="character">
    <w:name w:val="FollowedHyperlink"/>
    <w:next w:val="style26"/>
    <w:rPr>
      <w:color w:val="800080"/>
      <w:u w:val="single"/>
    </w:rPr>
  </w:style>
  <w:style w:styleId="style27" w:type="character">
    <w:name w:val="Título 1 Car"/>
    <w:next w:val="style27"/>
    <w:rPr>
      <w:rFonts w:ascii="Cambria" w:cs="Times New Roman" w:eastAsia="Times New Roman" w:hAnsi="Cambria"/>
      <w:b/>
      <w:bCs/>
      <w:sz w:val="32"/>
      <w:szCs w:val="32"/>
      <w:lang w:val="en-GB"/>
    </w:rPr>
  </w:style>
  <w:style w:styleId="style28" w:type="character">
    <w:name w:val="Encabezado Car"/>
    <w:next w:val="style28"/>
    <w:rPr>
      <w:sz w:val="24"/>
      <w:szCs w:val="24"/>
      <w:lang w:val="en-GB"/>
    </w:rPr>
  </w:style>
  <w:style w:styleId="style29" w:type="character">
    <w:name w:val="HTML Acronym"/>
    <w:next w:val="style29"/>
    <w:rPr>
      <w:rFonts w:ascii="Arial" w:hAnsi="Arial"/>
    </w:rPr>
  </w:style>
  <w:style w:styleId="style30" w:type="character">
    <w:name w:val="Texto de cuerpo Car"/>
    <w:next w:val="style30"/>
    <w:rPr>
      <w:rFonts w:ascii="Tahoma" w:cs="Tahoma" w:eastAsia="Times New Roman" w:hAnsi="Tahoma"/>
      <w:sz w:val="24"/>
      <w:szCs w:val="24"/>
    </w:rPr>
  </w:style>
  <w:style w:styleId="style31" w:type="character">
    <w:name w:val="Título 8 Car"/>
    <w:basedOn w:val="style15"/>
    <w:next w:val="style31"/>
    <w:rPr>
      <w:rFonts w:ascii="Calibri" w:cs="" w:hAnsi="Calibri"/>
      <w:color w:val="404040"/>
      <w:lang w:val="en-GB"/>
    </w:rPr>
  </w:style>
  <w:style w:styleId="style32" w:type="character">
    <w:name w:val="Título 9 Car"/>
    <w:basedOn w:val="style15"/>
    <w:next w:val="style32"/>
    <w:rPr>
      <w:rFonts w:ascii="Calibri" w:cs="" w:hAnsi="Calibri"/>
      <w:i/>
      <w:iCs/>
      <w:color w:val="404040"/>
      <w:lang w:val="en-GB"/>
    </w:rPr>
  </w:style>
  <w:style w:styleId="style33" w:type="character">
    <w:name w:val="Sangría de t. de cuerpo Car"/>
    <w:basedOn w:val="style15"/>
    <w:next w:val="style33"/>
    <w:rPr>
      <w:sz w:val="24"/>
      <w:szCs w:val="24"/>
      <w:lang w:val="en-GB"/>
    </w:rPr>
  </w:style>
  <w:style w:styleId="style34" w:type="character">
    <w:name w:val="annotation reference"/>
    <w:basedOn w:val="style15"/>
    <w:next w:val="style34"/>
    <w:rPr>
      <w:sz w:val="18"/>
      <w:szCs w:val="18"/>
    </w:rPr>
  </w:style>
  <w:style w:styleId="style35" w:type="character">
    <w:name w:val="Texto comentario Car"/>
    <w:basedOn w:val="style15"/>
    <w:next w:val="style35"/>
    <w:rPr>
      <w:sz w:val="24"/>
      <w:szCs w:val="24"/>
      <w:lang w:val="en-GB"/>
    </w:rPr>
  </w:style>
  <w:style w:styleId="style36" w:type="character">
    <w:name w:val="Asunto del comentario Car"/>
    <w:basedOn w:val="style35"/>
    <w:next w:val="style36"/>
    <w:rPr>
      <w:b/>
      <w:bCs/>
      <w:sz w:val="24"/>
      <w:szCs w:val="24"/>
      <w:lang w:val="en-GB"/>
    </w:rPr>
  </w:style>
  <w:style w:styleId="style37" w:type="character">
    <w:name w:val="ListLabel 1"/>
    <w:next w:val="style37"/>
    <w:rPr>
      <w:sz w:val="20"/>
    </w:rPr>
  </w:style>
  <w:style w:styleId="style38" w:type="character">
    <w:name w:val="ListLabel 2"/>
    <w:next w:val="style38"/>
    <w:rPr>
      <w:rFonts w:cs="Courier New"/>
    </w:rPr>
  </w:style>
  <w:style w:styleId="style39" w:type="character">
    <w:name w:val="ListLabel 3"/>
    <w:next w:val="style39"/>
    <w:rPr>
      <w:rFonts w:cs="Arial" w:eastAsia="MS Mincho"/>
    </w:rPr>
  </w:style>
  <w:style w:styleId="style40" w:type="character">
    <w:name w:val="ListLabel 4"/>
    <w:next w:val="style40"/>
    <w:rPr>
      <w:b/>
    </w:rPr>
  </w:style>
  <w:style w:styleId="style41" w:type="character">
    <w:name w:val="Index Link"/>
    <w:next w:val="style41"/>
    <w:rPr/>
  </w:style>
  <w:style w:styleId="style42" w:type="character">
    <w:name w:val="Footnote Characters"/>
    <w:next w:val="style42"/>
    <w:rPr/>
  </w:style>
  <w:style w:styleId="style43" w:type="character">
    <w:name w:val="Footnote Anchor"/>
    <w:next w:val="style43"/>
    <w:rPr>
      <w:vertAlign w:val="superscript"/>
    </w:rPr>
  </w:style>
  <w:style w:styleId="style44" w:type="character">
    <w:name w:val="Endnote Anchor"/>
    <w:next w:val="style44"/>
    <w:rPr>
      <w:vertAlign w:val="superscript"/>
    </w:rPr>
  </w:style>
  <w:style w:styleId="style45" w:type="character">
    <w:name w:val="Endnote Characters"/>
    <w:next w:val="style45"/>
    <w:rPr/>
  </w:style>
  <w:style w:styleId="style46" w:type="paragraph">
    <w:name w:val="Heading"/>
    <w:basedOn w:val="style0"/>
    <w:next w:val="style47"/>
    <w:pPr>
      <w:keepNext/>
      <w:spacing w:after="120" w:before="240"/>
      <w:contextualSpacing w:val="false"/>
    </w:pPr>
    <w:rPr>
      <w:rFonts w:ascii="Arial" w:cs="Lohit Hindi" w:eastAsia="DejaVu Sans" w:hAnsi="Arial"/>
      <w:sz w:val="28"/>
      <w:szCs w:val="28"/>
    </w:rPr>
  </w:style>
  <w:style w:styleId="style47" w:type="paragraph">
    <w:name w:val="Text Body"/>
    <w:basedOn w:val="style0"/>
    <w:next w:val="style47"/>
    <w:pPr>
      <w:jc w:val="both"/>
    </w:pPr>
    <w:rPr>
      <w:rFonts w:ascii="Tahoma" w:cs="Tahoma" w:eastAsia="Times New Roman" w:hAnsi="Tahoma"/>
      <w:bCs/>
      <w:sz w:val="22"/>
      <w:lang w:val="es-ES"/>
    </w:rPr>
  </w:style>
  <w:style w:styleId="style48" w:type="paragraph">
    <w:name w:val="List"/>
    <w:basedOn w:val="style47"/>
    <w:next w:val="style48"/>
    <w:pPr/>
    <w:rPr>
      <w:rFonts w:cs="Lohit Hindi"/>
    </w:rPr>
  </w:style>
  <w:style w:styleId="style49" w:type="paragraph">
    <w:name w:val="Caption"/>
    <w:basedOn w:val="style0"/>
    <w:next w:val="style49"/>
    <w:pPr>
      <w:suppressLineNumbers/>
      <w:spacing w:after="120" w:before="120"/>
      <w:contextualSpacing w:val="false"/>
    </w:pPr>
    <w:rPr>
      <w:rFonts w:cs="Lohit Hindi"/>
      <w:i/>
      <w:iCs/>
      <w:sz w:val="24"/>
      <w:szCs w:val="24"/>
    </w:rPr>
  </w:style>
  <w:style w:styleId="style50" w:type="paragraph">
    <w:name w:val="Index"/>
    <w:basedOn w:val="style0"/>
    <w:next w:val="style50"/>
    <w:pPr>
      <w:suppressLineNumbers/>
    </w:pPr>
    <w:rPr>
      <w:rFonts w:cs="Lohit Hindi"/>
    </w:rPr>
  </w:style>
  <w:style w:styleId="style51" w:type="paragraph">
    <w:name w:val="Balloon Text"/>
    <w:basedOn w:val="style0"/>
    <w:next w:val="style51"/>
    <w:pPr/>
    <w:rPr>
      <w:rFonts w:ascii="Lucida Grande" w:hAnsi="Lucida Grande"/>
      <w:sz w:val="18"/>
      <w:szCs w:val="18"/>
    </w:rPr>
  </w:style>
  <w:style w:styleId="style52" w:type="paragraph">
    <w:name w:val="Normal (Web)"/>
    <w:basedOn w:val="style0"/>
    <w:next w:val="style52"/>
    <w:pPr>
      <w:spacing w:after="280" w:before="280"/>
      <w:contextualSpacing w:val="false"/>
    </w:pPr>
    <w:rPr>
      <w:rFonts w:ascii="Times" w:hAnsi="Times"/>
      <w:sz w:val="20"/>
      <w:szCs w:val="20"/>
    </w:rPr>
  </w:style>
  <w:style w:styleId="style53" w:type="paragraph">
    <w:name w:val="Footer"/>
    <w:basedOn w:val="style0"/>
    <w:next w:val="style53"/>
    <w:pPr>
      <w:tabs>
        <w:tab w:leader="none" w:pos="4252" w:val="center"/>
        <w:tab w:leader="none" w:pos="8504" w:val="right"/>
      </w:tabs>
    </w:pPr>
    <w:rPr/>
  </w:style>
  <w:style w:styleId="style54" w:type="paragraph">
    <w:name w:val="footnote text"/>
    <w:basedOn w:val="style0"/>
    <w:next w:val="style54"/>
    <w:pPr/>
    <w:rPr/>
  </w:style>
  <w:style w:styleId="style55" w:type="paragraph">
    <w:name w:val="Contents Heading"/>
    <w:basedOn w:val="style1"/>
    <w:next w:val="style55"/>
    <w:pPr>
      <w:keepLines/>
      <w:spacing w:after="0" w:before="480" w:line="276" w:lineRule="auto"/>
      <w:contextualSpacing w:val="false"/>
    </w:pPr>
    <w:rPr>
      <w:color w:val="365F91"/>
      <w:sz w:val="28"/>
      <w:szCs w:val="28"/>
      <w:lang w:val="es-ES"/>
    </w:rPr>
  </w:style>
  <w:style w:styleId="style56" w:type="paragraph">
    <w:name w:val="Contents 2"/>
    <w:basedOn w:val="style0"/>
    <w:next w:val="style56"/>
    <w:pPr>
      <w:ind w:hanging="0" w:left="240" w:right="0"/>
    </w:pPr>
    <w:rPr/>
  </w:style>
  <w:style w:styleId="style57" w:type="paragraph">
    <w:name w:val="Contents 1"/>
    <w:basedOn w:val="style0"/>
    <w:next w:val="style57"/>
    <w:pPr/>
    <w:rPr/>
  </w:style>
  <w:style w:styleId="style58" w:type="paragraph">
    <w:name w:val="Header"/>
    <w:basedOn w:val="style0"/>
    <w:next w:val="style58"/>
    <w:pPr>
      <w:tabs>
        <w:tab w:leader="none" w:pos="4252" w:val="center"/>
        <w:tab w:leader="none" w:pos="8504" w:val="right"/>
      </w:tabs>
    </w:pPr>
    <w:rPr/>
  </w:style>
  <w:style w:styleId="style59" w:type="paragraph">
    <w:name w:val="rg4_fill"/>
    <w:basedOn w:val="style0"/>
    <w:next w:val="style59"/>
    <w:pPr/>
    <w:rPr>
      <w:rFonts w:ascii="Arial" w:cs="Arial" w:eastAsia="Times New Roman" w:hAnsi="Arial"/>
      <w:sz w:val="22"/>
      <w:szCs w:val="22"/>
      <w:lang w:eastAsia="en-GB"/>
    </w:rPr>
  </w:style>
  <w:style w:styleId="style60" w:type="paragraph">
    <w:name w:val="Text Body Indent"/>
    <w:basedOn w:val="style0"/>
    <w:next w:val="style60"/>
    <w:pPr>
      <w:spacing w:after="120" w:before="0"/>
      <w:ind w:hanging="0" w:left="283" w:right="0"/>
      <w:contextualSpacing w:val="false"/>
    </w:pPr>
    <w:rPr/>
  </w:style>
  <w:style w:styleId="style61" w:type="paragraph">
    <w:name w:val="Sangría de texto normal1"/>
    <w:basedOn w:val="style0"/>
    <w:next w:val="style61"/>
    <w:pPr>
      <w:widowControl w:val="false"/>
      <w:spacing w:after="120" w:before="0"/>
      <w:ind w:hanging="0" w:left="283" w:right="0"/>
      <w:contextualSpacing w:val="false"/>
      <w:jc w:val="both"/>
    </w:pPr>
    <w:rPr>
      <w:rFonts w:ascii="Times New Roman" w:hAnsi="Times New Roman"/>
      <w:lang w:eastAsia="de-DE" w:val="en-US"/>
    </w:rPr>
  </w:style>
  <w:style w:styleId="style62" w:type="paragraph">
    <w:name w:val="Corps de texte 21"/>
    <w:basedOn w:val="style0"/>
    <w:next w:val="style62"/>
    <w:pPr>
      <w:suppressAutoHyphens w:val="true"/>
      <w:overflowPunct w:val="true"/>
      <w:ind w:hanging="0" w:left="0" w:right="-426"/>
      <w:textAlignment w:val="baseline"/>
    </w:pPr>
    <w:rPr>
      <w:rFonts w:ascii="Times New Roman" w:hAnsi="Times New Roman"/>
      <w:lang w:eastAsia="ar-SA"/>
    </w:rPr>
  </w:style>
  <w:style w:styleId="style63" w:type="paragraph">
    <w:name w:val="Block Text"/>
    <w:basedOn w:val="style0"/>
    <w:next w:val="style63"/>
    <w:pPr>
      <w:overflowPunct w:val="true"/>
      <w:ind w:hanging="708" w:left="708" w:right="-285"/>
      <w:textAlignment w:val="baseline"/>
    </w:pPr>
    <w:rPr>
      <w:rFonts w:ascii="Arial" w:hAnsi="Arial"/>
      <w:sz w:val="20"/>
      <w:szCs w:val="20"/>
      <w:lang w:eastAsia="fr-FR"/>
    </w:rPr>
  </w:style>
  <w:style w:styleId="style64" w:type="paragraph">
    <w:name w:val="Default"/>
    <w:next w:val="style64"/>
    <w:pPr>
      <w:widowControl/>
      <w:suppressAutoHyphens w:val="true"/>
    </w:pPr>
    <w:rPr>
      <w:rFonts w:ascii="Times New Roman" w:cs="Times New Roman" w:eastAsia="MS Mincho" w:hAnsi="Times New Roman"/>
      <w:color w:val="000000"/>
      <w:sz w:val="24"/>
      <w:szCs w:val="24"/>
      <w:lang w:bidi="ar-SA" w:eastAsia="it-IT" w:val="it-IT"/>
    </w:rPr>
  </w:style>
  <w:style w:styleId="style65" w:type="paragraph">
    <w:name w:val="annotation text"/>
    <w:basedOn w:val="style0"/>
    <w:next w:val="style65"/>
    <w:pPr/>
    <w:rPr/>
  </w:style>
  <w:style w:styleId="style66" w:type="paragraph">
    <w:name w:val="annotation subject"/>
    <w:basedOn w:val="style65"/>
    <w:next w:val="style66"/>
    <w:pPr/>
    <w:rPr>
      <w:b/>
      <w:bCs/>
      <w:sz w:val="20"/>
      <w:szCs w:val="20"/>
    </w:rPr>
  </w:style>
  <w:style w:styleId="style67" w:type="paragraph">
    <w:name w:val="List Paragraph"/>
    <w:basedOn w:val="style0"/>
    <w:next w:val="style67"/>
    <w:pPr>
      <w:spacing w:after="0" w:before="0"/>
      <w:ind w:hanging="0" w:left="720" w:right="0"/>
      <w:contextualSpacing/>
    </w:pPr>
    <w:rPr/>
  </w:style>
  <w:style w:styleId="style68" w:type="paragraph">
    <w:name w:val="Footnote"/>
    <w:basedOn w:val="style0"/>
    <w:next w:val="style68"/>
    <w:pPr/>
    <w:rPr/>
  </w:style>
  <w:style w:styleId="style69" w:type="paragraph">
    <w:name w:val="Frame Contents"/>
    <w:basedOn w:val="style0"/>
    <w:next w:val="style6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3.jpeg"/><Relationship Id="rId3" Type="http://schemas.openxmlformats.org/officeDocument/2006/relationships/image" Target="media/image24.jpeg"/><Relationship Id="rId4" Type="http://schemas.openxmlformats.org/officeDocument/2006/relationships/hyperlink" Target="http://www.socib.es/~ksebastian/test_www/?seccion=gliderCompetitiveAccess" TargetMode="External"/><Relationship Id="rId5" Type="http://schemas.openxmlformats.org/officeDocument/2006/relationships/image" Target="media/image25.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socib.es/" TargetMode="External"/><Relationship Id="rId9" Type="http://schemas.openxmlformats.org/officeDocument/2006/relationships/hyperlink" Target="http://www.jerico-fp7.eu/" TargetMode="External"/><Relationship Id="rId10" Type="http://schemas.openxmlformats.org/officeDocument/2006/relationships/hyperlink" Target="mailto:GliderAccess_2_2014@socib.es" TargetMode="External"/><Relationship Id="rId11" Type="http://schemas.openxmlformats.org/officeDocument/2006/relationships/image" Target="media/image27.emf"/><Relationship Id="rId12" Type="http://schemas.openxmlformats.org/officeDocument/2006/relationships/image" Target="media/image28.emf"/><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6.jpeg"/>
</Relationships>
</file>

<file path=docProps/app.xml><?xml version="1.0" encoding="utf-8"?>
<Properties xmlns="http://schemas.openxmlformats.org/officeDocument/2006/extended-properties" xmlns:vt="http://schemas.openxmlformats.org/officeDocument/2006/docPropsVTypes">
  <Template>Normal.dotm</Template>
  <TotalTime>8</TotalTime>
  <Application>Microsoft Word 12.0.0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2014-07-16T08:48:00Z</dcterms:created>
  <dc:creator>Saül Pitarch</dc:creator>
  <cp:lastModifiedBy>Simón Ruiz Valero</cp:lastModifiedBy>
  <cp:lastPrinted>2014-03-13T10:11:00Z</cp:lastPrinted>
  <dcterms:modified xsi:type="dcterms:W3CDTF">2014-07-16T09:04:00Z</dcterms:modified>
  <cp:revision>5</cp:revision>
</cp:coreProperties>
</file>